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C31AB">
      <w:pPr>
        <w:keepNext w:val="0"/>
        <w:keepLines w:val="0"/>
        <w:pageBreakBefore w:val="0"/>
        <w:kinsoku/>
        <w:wordWrap/>
        <w:topLinePunct w:val="0"/>
        <w:autoSpaceDE/>
        <w:bidi w:val="0"/>
        <w:adjustRightInd/>
        <w:spacing w:line="560" w:lineRule="exact"/>
        <w:ind w:left="0" w:leftChars="0" w:right="0" w:firstLine="800" w:firstLineChars="200"/>
        <w:jc w:val="center"/>
        <w:textAlignment w:val="auto"/>
        <w:rPr>
          <w:rFonts w:ascii="方正小标宋简体" w:hAnsi="方正小标宋简体" w:eastAsia="方正小标宋简体"/>
          <w:sz w:val="40"/>
          <w:szCs w:val="22"/>
        </w:rPr>
      </w:pPr>
      <w:bookmarkStart w:id="3" w:name="_GoBack"/>
      <w:r>
        <w:rPr>
          <w:rFonts w:hint="eastAsia" w:ascii="方正小标宋简体" w:hAnsi="方正小标宋简体" w:eastAsia="方正小标宋简体"/>
          <w:sz w:val="40"/>
          <w:szCs w:val="22"/>
          <w:lang w:eastAsia="zh-CN"/>
        </w:rPr>
        <w:t>青海</w:t>
      </w:r>
      <w:r>
        <w:rPr>
          <w:rFonts w:hint="eastAsia" w:ascii="方正小标宋简体" w:hAnsi="方正小标宋简体" w:eastAsia="方正小标宋简体"/>
          <w:sz w:val="40"/>
          <w:szCs w:val="22"/>
        </w:rPr>
        <w:t>省政府采购代理机构管理办法</w:t>
      </w:r>
    </w:p>
    <w:p w14:paraId="4D1DE6B1">
      <w:pPr>
        <w:keepNext w:val="0"/>
        <w:keepLines w:val="0"/>
        <w:pageBreakBefore w:val="0"/>
        <w:kinsoku/>
        <w:wordWrap/>
        <w:topLinePunct w:val="0"/>
        <w:autoSpaceDE/>
        <w:bidi w:val="0"/>
        <w:adjustRightInd/>
        <w:spacing w:line="560" w:lineRule="exact"/>
        <w:ind w:left="0" w:leftChars="0" w:right="0" w:firstLine="800" w:firstLineChars="200"/>
        <w:jc w:val="center"/>
        <w:textAlignment w:val="auto"/>
        <w:rPr>
          <w:rFonts w:hint="eastAsia" w:ascii="方正小标宋简体" w:hAnsi="方正小标宋简体" w:eastAsia="方正小标宋简体"/>
          <w:sz w:val="40"/>
          <w:szCs w:val="22"/>
        </w:rPr>
      </w:pPr>
      <w:r>
        <w:rPr>
          <w:rFonts w:hint="eastAsia" w:ascii="方正小标宋简体" w:hAnsi="方正小标宋简体" w:eastAsia="方正小标宋简体"/>
          <w:sz w:val="40"/>
          <w:szCs w:val="22"/>
        </w:rPr>
        <w:t>（</w:t>
      </w:r>
      <w:r>
        <w:rPr>
          <w:rFonts w:hint="eastAsia" w:ascii="方正小标宋简体" w:hAnsi="方正小标宋简体" w:eastAsia="方正小标宋简体"/>
          <w:sz w:val="40"/>
          <w:szCs w:val="22"/>
          <w:lang w:eastAsia="zh-CN"/>
        </w:rPr>
        <w:t>征求意见稿</w:t>
      </w:r>
      <w:r>
        <w:rPr>
          <w:rFonts w:hint="eastAsia" w:ascii="方正小标宋简体" w:hAnsi="方正小标宋简体" w:eastAsia="方正小标宋简体"/>
          <w:sz w:val="40"/>
          <w:szCs w:val="22"/>
        </w:rPr>
        <w:t>）</w:t>
      </w:r>
      <w:bookmarkEnd w:id="3"/>
    </w:p>
    <w:p w14:paraId="420FF0EF">
      <w:pPr>
        <w:keepNext w:val="0"/>
        <w:keepLines w:val="0"/>
        <w:pageBreakBefore w:val="0"/>
        <w:kinsoku/>
        <w:wordWrap/>
        <w:topLinePunct w:val="0"/>
        <w:autoSpaceDE/>
        <w:bidi w:val="0"/>
        <w:adjustRightInd/>
        <w:spacing w:line="560" w:lineRule="exact"/>
        <w:ind w:left="0" w:leftChars="0" w:right="0" w:firstLine="720" w:firstLineChars="200"/>
        <w:textAlignment w:val="auto"/>
        <w:rPr>
          <w:rFonts w:hint="eastAsia" w:ascii="方正小标宋简体" w:hAnsi="方正小标宋简体" w:eastAsia="方正小标宋简体"/>
          <w:sz w:val="36"/>
        </w:rPr>
      </w:pPr>
      <w:r>
        <w:rPr>
          <w:rFonts w:hint="eastAsia" w:ascii="方正小标宋简体" w:hAnsi="方正小标宋简体" w:eastAsia="方正小标宋简体"/>
          <w:sz w:val="36"/>
        </w:rPr>
        <w:t xml:space="preserve"> </w:t>
      </w:r>
    </w:p>
    <w:p w14:paraId="090A0CE4">
      <w:pPr>
        <w:keepNext w:val="0"/>
        <w:keepLines w:val="0"/>
        <w:pageBreakBefore w:val="0"/>
        <w:numPr>
          <w:ilvl w:val="0"/>
          <w:numId w:val="1"/>
        </w:numPr>
        <w:kinsoku/>
        <w:wordWrap/>
        <w:topLinePunct w:val="0"/>
        <w:autoSpaceDE/>
        <w:bidi w:val="0"/>
        <w:adjustRightInd/>
        <w:spacing w:line="560" w:lineRule="exact"/>
        <w:ind w:left="0" w:leftChars="0" w:right="0" w:firstLine="640" w:firstLineChars="200"/>
        <w:jc w:val="center"/>
        <w:textAlignment w:val="auto"/>
        <w:rPr>
          <w:rFonts w:hint="eastAsia" w:ascii="黑体" w:hAnsi="黑体" w:eastAsia="黑体"/>
          <w:sz w:val="32"/>
        </w:rPr>
      </w:pPr>
      <w:r>
        <w:rPr>
          <w:rFonts w:ascii="黑体" w:hAnsi="黑体" w:eastAsia="黑体"/>
          <w:sz w:val="32"/>
        </w:rPr>
        <w:t xml:space="preserve"> </w:t>
      </w:r>
      <w:r>
        <w:rPr>
          <w:rFonts w:hint="eastAsia" w:ascii="黑体" w:hAnsi="黑体" w:eastAsia="黑体"/>
          <w:sz w:val="32"/>
        </w:rPr>
        <w:t xml:space="preserve">总 </w:t>
      </w:r>
      <w:r>
        <w:rPr>
          <w:rFonts w:ascii="黑体" w:hAnsi="黑体" w:eastAsia="黑体"/>
          <w:sz w:val="32"/>
        </w:rPr>
        <w:t xml:space="preserve"> </w:t>
      </w:r>
      <w:r>
        <w:rPr>
          <w:rFonts w:hint="eastAsia" w:ascii="黑体" w:hAnsi="黑体" w:eastAsia="黑体"/>
          <w:sz w:val="32"/>
        </w:rPr>
        <w:t>则</w:t>
      </w:r>
    </w:p>
    <w:p w14:paraId="631B681C">
      <w:pPr>
        <w:keepNext w:val="0"/>
        <w:keepLines w:val="0"/>
        <w:pageBreakBefore w:val="0"/>
        <w:numPr>
          <w:ilvl w:val="0"/>
          <w:numId w:val="0"/>
        </w:numPr>
        <w:kinsoku/>
        <w:wordWrap/>
        <w:topLinePunct w:val="0"/>
        <w:autoSpaceDE/>
        <w:bidi w:val="0"/>
        <w:adjustRightInd/>
        <w:spacing w:line="560" w:lineRule="exact"/>
        <w:ind w:leftChars="0" w:right="0" w:rightChars="0" w:firstLine="640" w:firstLineChars="200"/>
        <w:jc w:val="both"/>
        <w:textAlignment w:val="auto"/>
        <w:rPr>
          <w:rFonts w:hint="eastAsia" w:ascii="仿宋_GB2312" w:hAnsi="仿宋_GB2312" w:eastAsia="仿宋_GB2312"/>
          <w:sz w:val="32"/>
        </w:rPr>
      </w:pPr>
      <w:r>
        <w:rPr>
          <w:rFonts w:hint="eastAsia" w:ascii="黑体" w:hAnsi="黑体" w:eastAsia="黑体" w:cs="黑体"/>
          <w:sz w:val="32"/>
          <w:szCs w:val="32"/>
          <w:lang w:eastAsia="zh-CN"/>
        </w:rPr>
        <w:t>第一条</w:t>
      </w:r>
      <w:r>
        <w:rPr>
          <w:rFonts w:hint="eastAsia" w:ascii="仿宋_GB2312" w:eastAsia="仿宋_GB2312"/>
          <w:sz w:val="32"/>
          <w:szCs w:val="32"/>
          <w:lang w:val="en-US" w:eastAsia="zh-CN"/>
        </w:rPr>
        <w:t xml:space="preserve">  </w:t>
      </w:r>
      <w:r>
        <w:rPr>
          <w:rFonts w:hint="eastAsia" w:ascii="仿宋_GB2312" w:eastAsia="仿宋_GB2312"/>
          <w:sz w:val="32"/>
          <w:szCs w:val="32"/>
        </w:rPr>
        <w:t>为</w:t>
      </w:r>
      <w:r>
        <w:rPr>
          <w:rFonts w:hint="eastAsia" w:ascii="仿宋_GB2312" w:hAnsi="仿宋_GB2312" w:eastAsia="仿宋_GB2312"/>
          <w:sz w:val="32"/>
          <w:shd w:val="clear" w:color="auto" w:fill="FFFFFF"/>
        </w:rPr>
        <w:t>推动政府采购代理机构规范化、专业化发展，</w:t>
      </w:r>
      <w:r>
        <w:rPr>
          <w:rFonts w:hint="eastAsia" w:ascii="仿宋_GB2312" w:hAnsi="仿宋_GB2312" w:eastAsia="仿宋_GB2312"/>
          <w:sz w:val="32"/>
          <w:shd w:val="clear" w:color="auto" w:fill="FFFFFF"/>
          <w:lang w:eastAsia="zh-CN"/>
        </w:rPr>
        <w:t>提升代理机构执业水平和效率</w:t>
      </w:r>
      <w:r>
        <w:rPr>
          <w:rFonts w:hint="eastAsia" w:ascii="仿宋_GB2312" w:hAnsi="仿宋_GB2312" w:eastAsia="仿宋_GB2312"/>
          <w:sz w:val="32"/>
          <w:shd w:val="clear" w:color="auto" w:fill="FFFFFF"/>
          <w:lang w:val="en-US" w:eastAsia="zh-CN"/>
        </w:rPr>
        <w:t>,持续优化营商环境。根据《中华人民共和国政府采购法》《中华人民共和国政府采购法实施条例》</w:t>
      </w:r>
      <w:r>
        <w:rPr>
          <w:rFonts w:hint="eastAsia" w:ascii="仿宋_GB2312" w:hAnsi="仿宋_GB2312" w:eastAsia="仿宋_GB2312"/>
          <w:sz w:val="32"/>
        </w:rPr>
        <w:t>《财政部关于印发〈政府采购代理机构管理暂行办法〉的通知》（财库〔2018〕2号）《财政部关于印发〈政府采购代理机构</w:t>
      </w:r>
      <w:r>
        <w:rPr>
          <w:rFonts w:hint="eastAsia" w:ascii="仿宋_GB2312" w:hAnsi="仿宋_GB2312" w:eastAsia="仿宋_GB2312"/>
          <w:sz w:val="32"/>
          <w:lang w:eastAsia="zh-CN"/>
        </w:rPr>
        <w:t>监督检查暂行办法</w:t>
      </w:r>
      <w:r>
        <w:rPr>
          <w:rFonts w:hint="eastAsia" w:ascii="仿宋_GB2312" w:hAnsi="仿宋_GB2312" w:eastAsia="仿宋_GB2312"/>
          <w:sz w:val="32"/>
        </w:rPr>
        <w:t>〉的通知》（财库〔</w:t>
      </w:r>
      <w:r>
        <w:rPr>
          <w:rFonts w:hint="eastAsia" w:ascii="仿宋_GB2312" w:hAnsi="仿宋_GB2312" w:eastAsia="仿宋_GB2312"/>
          <w:sz w:val="32"/>
          <w:lang w:val="en-US" w:eastAsia="zh-CN"/>
        </w:rPr>
        <w:t>2024</w:t>
      </w:r>
      <w:r>
        <w:rPr>
          <w:rFonts w:hint="eastAsia" w:ascii="仿宋_GB2312" w:hAnsi="仿宋_GB2312" w:eastAsia="仿宋_GB2312"/>
          <w:sz w:val="32"/>
        </w:rPr>
        <w:t>〕</w:t>
      </w:r>
      <w:r>
        <w:rPr>
          <w:rFonts w:hint="eastAsia" w:ascii="仿宋_GB2312" w:hAnsi="仿宋_GB2312" w:eastAsia="仿宋_GB2312"/>
          <w:sz w:val="32"/>
          <w:lang w:val="en-US" w:eastAsia="zh-CN"/>
        </w:rPr>
        <w:t>27</w:t>
      </w:r>
      <w:r>
        <w:rPr>
          <w:rFonts w:hint="eastAsia" w:ascii="仿宋_GB2312" w:hAnsi="仿宋_GB2312" w:eastAsia="仿宋_GB2312"/>
          <w:sz w:val="32"/>
        </w:rPr>
        <w:t>号）等规定，结合</w:t>
      </w:r>
      <w:r>
        <w:rPr>
          <w:rFonts w:hint="eastAsia" w:ascii="仿宋_GB2312" w:hAnsi="仿宋_GB2312" w:eastAsia="仿宋_GB2312"/>
          <w:sz w:val="32"/>
          <w:lang w:eastAsia="zh-CN"/>
        </w:rPr>
        <w:t>我省实际，</w:t>
      </w:r>
      <w:r>
        <w:rPr>
          <w:rFonts w:hint="eastAsia" w:ascii="仿宋_GB2312" w:hAnsi="仿宋_GB2312" w:eastAsia="仿宋_GB2312"/>
          <w:sz w:val="32"/>
        </w:rPr>
        <w:t>制定本办法。</w:t>
      </w:r>
    </w:p>
    <w:p w14:paraId="3E827D93">
      <w:pPr>
        <w:keepNext w:val="0"/>
        <w:keepLines w:val="0"/>
        <w:pageBreakBefore w:val="0"/>
        <w:numPr>
          <w:ilvl w:val="0"/>
          <w:numId w:val="0"/>
        </w:numPr>
        <w:kinsoku/>
        <w:wordWrap/>
        <w:overflowPunct w:val="0"/>
        <w:topLinePunct w:val="0"/>
        <w:autoSpaceDE/>
        <w:bidi w:val="0"/>
        <w:adjustRightInd/>
        <w:spacing w:line="560" w:lineRule="exact"/>
        <w:ind w:leftChars="0" w:right="0" w:rightChars="0" w:firstLine="640" w:firstLineChars="200"/>
        <w:textAlignment w:val="auto"/>
        <w:rPr>
          <w:rFonts w:hint="eastAsia" w:ascii="仿宋_GB2312" w:hAnsi="仿宋_GB2312" w:eastAsia="仿宋_GB2312"/>
          <w:sz w:val="32"/>
        </w:rPr>
      </w:pPr>
      <w:r>
        <w:rPr>
          <w:rFonts w:hint="eastAsia" w:ascii="黑体" w:hAnsi="黑体" w:eastAsia="黑体" w:cs="黑体"/>
          <w:sz w:val="32"/>
          <w:lang w:eastAsia="zh-CN"/>
        </w:rPr>
        <w:t>第二条</w:t>
      </w:r>
      <w:r>
        <w:rPr>
          <w:rFonts w:hint="eastAsia" w:ascii="黑体" w:hAnsi="黑体" w:eastAsia="黑体" w:cs="黑体"/>
          <w:sz w:val="32"/>
          <w:lang w:val="en-US" w:eastAsia="zh-CN"/>
        </w:rPr>
        <w:t xml:space="preserve">  </w:t>
      </w:r>
      <w:r>
        <w:rPr>
          <w:rFonts w:hint="eastAsia" w:ascii="仿宋_GB2312" w:hAnsi="仿宋_GB2312" w:eastAsia="仿宋_GB2312"/>
          <w:sz w:val="32"/>
        </w:rPr>
        <w:t>本办法所称</w:t>
      </w:r>
      <w:r>
        <w:rPr>
          <w:rFonts w:hint="eastAsia" w:ascii="仿宋_GB2312" w:hAnsi="仿宋_GB2312" w:eastAsia="仿宋_GB2312"/>
          <w:sz w:val="32"/>
          <w:shd w:val="clear" w:color="auto" w:fill="FFFFFF"/>
        </w:rPr>
        <w:t>政府采购代理机构（以下称代理机构），是指集中采购机构以外、受采购人委托从事政府采购代理业务的社会中介机构。包括</w:t>
      </w:r>
      <w:r>
        <w:rPr>
          <w:rFonts w:hint="eastAsia" w:ascii="仿宋_GB2312" w:hAnsi="仿宋_GB2312" w:eastAsia="仿宋_GB2312"/>
          <w:sz w:val="32"/>
          <w:shd w:val="clear" w:color="auto" w:fill="FFFFFF"/>
          <w:lang w:eastAsia="zh-CN"/>
        </w:rPr>
        <w:t>青海</w:t>
      </w:r>
      <w:r>
        <w:rPr>
          <w:rFonts w:hint="eastAsia" w:ascii="仿宋_GB2312" w:hAnsi="仿宋_GB2312" w:eastAsia="仿宋_GB2312"/>
          <w:sz w:val="32"/>
          <w:shd w:val="clear" w:color="auto" w:fill="FFFFFF"/>
        </w:rPr>
        <w:t>省内注册的代理机构和省外注册省内执业的代理机构。</w:t>
      </w:r>
    </w:p>
    <w:p w14:paraId="14238058">
      <w:pPr>
        <w:keepNext w:val="0"/>
        <w:keepLines w:val="0"/>
        <w:pageBreakBefore w:val="0"/>
        <w:numPr>
          <w:ilvl w:val="0"/>
          <w:numId w:val="0"/>
        </w:numPr>
        <w:kinsoku/>
        <w:wordWrap/>
        <w:overflowPunct w:val="0"/>
        <w:topLinePunct w:val="0"/>
        <w:autoSpaceDE/>
        <w:bidi w:val="0"/>
        <w:adjustRightInd/>
        <w:spacing w:line="560" w:lineRule="exact"/>
        <w:ind w:leftChars="0" w:right="0" w:rightChars="0" w:firstLine="640" w:firstLineChars="200"/>
        <w:textAlignment w:val="auto"/>
        <w:rPr>
          <w:rFonts w:hint="eastAsia" w:ascii="仿宋_GB2312" w:hAnsi="仿宋_GB2312" w:eastAsia="仿宋_GB2312"/>
          <w:sz w:val="32"/>
        </w:rPr>
      </w:pPr>
      <w:r>
        <w:rPr>
          <w:rFonts w:hint="eastAsia" w:ascii="黑体" w:hAnsi="黑体" w:eastAsia="黑体" w:cs="黑体"/>
          <w:sz w:val="32"/>
          <w:lang w:val="en-US" w:eastAsia="zh-CN"/>
        </w:rPr>
        <w:t xml:space="preserve">第三条 </w:t>
      </w:r>
      <w:r>
        <w:rPr>
          <w:rFonts w:hint="eastAsia" w:ascii="仿宋_GB2312" w:hAnsi="仿宋_GB2312" w:eastAsia="仿宋_GB2312"/>
          <w:sz w:val="32"/>
          <w:lang w:val="en-US" w:eastAsia="zh-CN"/>
        </w:rPr>
        <w:t xml:space="preserve"> 本办法所称代理机构</w:t>
      </w:r>
      <w:r>
        <w:rPr>
          <w:rFonts w:hint="eastAsia" w:ascii="仿宋_GB2312" w:hAnsi="仿宋_GB2312" w:eastAsia="仿宋_GB2312"/>
          <w:sz w:val="32"/>
        </w:rPr>
        <w:t>专职从业人员（以下称专职人员），是指与代理机构签订劳动合同，由代理机构依法缴纳社会保险的专职人员，不包括财务、行政等非业务人员</w:t>
      </w:r>
      <w:r>
        <w:rPr>
          <w:rFonts w:hint="eastAsia" w:ascii="仿宋_GB2312" w:hAnsi="仿宋_GB2312" w:eastAsia="仿宋_GB2312"/>
          <w:sz w:val="32"/>
          <w:lang w:eastAsia="zh-CN"/>
        </w:rPr>
        <w:t>。</w:t>
      </w:r>
    </w:p>
    <w:p w14:paraId="5BBAAD73">
      <w:pPr>
        <w:keepNext w:val="0"/>
        <w:keepLines w:val="0"/>
        <w:pageBreakBefore w:val="0"/>
        <w:numPr>
          <w:ilvl w:val="0"/>
          <w:numId w:val="0"/>
        </w:numPr>
        <w:kinsoku/>
        <w:wordWrap/>
        <w:overflowPunct w:val="0"/>
        <w:topLinePunct w:val="0"/>
        <w:autoSpaceDE/>
        <w:bidi w:val="0"/>
        <w:adjustRightInd/>
        <w:spacing w:line="560" w:lineRule="exact"/>
        <w:ind w:leftChars="0" w:right="0" w:rightChars="0" w:firstLine="640" w:firstLineChars="200"/>
        <w:textAlignment w:val="auto"/>
        <w:rPr>
          <w:rFonts w:hint="eastAsia" w:ascii="仿宋_GB2312" w:hAnsi="仿宋_GB2312" w:eastAsia="仿宋_GB2312"/>
          <w:sz w:val="32"/>
        </w:rPr>
      </w:pPr>
      <w:r>
        <w:rPr>
          <w:rFonts w:hint="eastAsia" w:ascii="黑体" w:hAnsi="黑体" w:eastAsia="黑体" w:cs="黑体"/>
          <w:sz w:val="32"/>
          <w:lang w:val="en-US" w:eastAsia="zh-CN"/>
        </w:rPr>
        <w:t xml:space="preserve">第四条 </w:t>
      </w:r>
      <w:r>
        <w:rPr>
          <w:rFonts w:hint="eastAsia" w:ascii="仿宋_GB2312" w:eastAsia="仿宋_GB2312"/>
          <w:sz w:val="32"/>
          <w:szCs w:val="32"/>
          <w:lang w:val="en-US" w:eastAsia="zh-CN"/>
        </w:rPr>
        <w:t xml:space="preserve"> </w:t>
      </w:r>
      <w:r>
        <w:rPr>
          <w:rFonts w:hint="eastAsia" w:ascii="仿宋_GB2312" w:eastAsia="仿宋_GB2312"/>
          <w:sz w:val="32"/>
          <w:szCs w:val="32"/>
        </w:rPr>
        <w:t>代理机构的名录登记、</w:t>
      </w:r>
      <w:r>
        <w:rPr>
          <w:rFonts w:hint="eastAsia" w:ascii="仿宋_GB2312" w:eastAsia="仿宋_GB2312"/>
          <w:sz w:val="32"/>
          <w:szCs w:val="32"/>
          <w:highlight w:val="none"/>
        </w:rPr>
        <w:t>名录注销、</w:t>
      </w:r>
      <w:r>
        <w:rPr>
          <w:rFonts w:hint="eastAsia" w:ascii="仿宋_GB2312" w:eastAsia="仿宋_GB2312"/>
          <w:sz w:val="32"/>
          <w:szCs w:val="32"/>
        </w:rPr>
        <w:t>从业管理、监督检查适用本办法。</w:t>
      </w:r>
    </w:p>
    <w:p w14:paraId="7DDC81EE">
      <w:pPr>
        <w:keepNext w:val="0"/>
        <w:keepLines w:val="0"/>
        <w:pageBreakBefore w:val="0"/>
        <w:numPr>
          <w:ilvl w:val="0"/>
          <w:numId w:val="0"/>
        </w:numPr>
        <w:kinsoku/>
        <w:wordWrap/>
        <w:overflowPunct w:val="0"/>
        <w:topLinePunct w:val="0"/>
        <w:autoSpaceDE/>
        <w:bidi w:val="0"/>
        <w:adjustRightInd/>
        <w:spacing w:line="560" w:lineRule="exact"/>
        <w:ind w:leftChars="0" w:right="0" w:rightChars="0" w:firstLine="640" w:firstLineChars="200"/>
        <w:textAlignment w:val="auto"/>
        <w:rPr>
          <w:rFonts w:ascii="仿宋_GB2312" w:eastAsia="仿宋_GB2312"/>
          <w:sz w:val="32"/>
          <w:szCs w:val="32"/>
        </w:rPr>
      </w:pPr>
      <w:r>
        <w:rPr>
          <w:rFonts w:hint="eastAsia" w:ascii="黑体" w:hAnsi="黑体" w:eastAsia="黑体" w:cs="黑体"/>
          <w:sz w:val="32"/>
          <w:lang w:val="en-US" w:eastAsia="zh-CN"/>
        </w:rPr>
        <w:t>第五条</w:t>
      </w:r>
      <w:r>
        <w:rPr>
          <w:rFonts w:hint="eastAsia" w:ascii="仿宋_GB2312" w:eastAsia="仿宋_GB2312"/>
          <w:sz w:val="32"/>
          <w:szCs w:val="32"/>
          <w:lang w:val="en-US" w:eastAsia="zh-CN"/>
        </w:rPr>
        <w:t xml:space="preserve">  按照省级统一管理、分级监管原则，</w:t>
      </w:r>
      <w:r>
        <w:rPr>
          <w:rFonts w:hint="eastAsia" w:ascii="仿宋_GB2312" w:eastAsia="仿宋_GB2312"/>
          <w:sz w:val="32"/>
          <w:szCs w:val="32"/>
        </w:rPr>
        <w:t>各级财政部门根据采购预算级次，依法对代理机构从事政府采购代理业务进行监督管理。</w:t>
      </w:r>
    </w:p>
    <w:p w14:paraId="5A937372">
      <w:pPr>
        <w:keepNext w:val="0"/>
        <w:keepLines w:val="0"/>
        <w:pageBreakBefore w:val="0"/>
        <w:numPr>
          <w:ilvl w:val="0"/>
          <w:numId w:val="0"/>
        </w:numPr>
        <w:kinsoku/>
        <w:wordWrap/>
        <w:overflowPunct w:val="0"/>
        <w:topLinePunct w:val="0"/>
        <w:autoSpaceDE/>
        <w:bidi w:val="0"/>
        <w:adjustRightInd/>
        <w:spacing w:line="560" w:lineRule="exact"/>
        <w:ind w:leftChars="0" w:right="0" w:rightChars="0" w:firstLine="640" w:firstLineChars="200"/>
        <w:textAlignment w:val="auto"/>
        <w:rPr>
          <w:rFonts w:ascii="仿宋_GB2312" w:eastAsia="仿宋_GB2312"/>
          <w:sz w:val="32"/>
          <w:szCs w:val="32"/>
        </w:rPr>
      </w:pPr>
      <w:r>
        <w:rPr>
          <w:rFonts w:hint="eastAsia" w:ascii="黑体" w:hAnsi="黑体" w:eastAsia="黑体" w:cs="黑体"/>
          <w:sz w:val="32"/>
          <w:lang w:val="en-US" w:eastAsia="zh-CN"/>
        </w:rPr>
        <w:t>第六条</w:t>
      </w:r>
      <w:r>
        <w:rPr>
          <w:rFonts w:hint="eastAsia" w:ascii="仿宋_GB2312" w:eastAsia="仿宋_GB2312"/>
          <w:sz w:val="32"/>
          <w:szCs w:val="32"/>
          <w:lang w:val="en-US" w:eastAsia="zh-CN"/>
        </w:rPr>
        <w:t xml:space="preserve">  代理机构应加强业务能力建设，推动业务转型，</w:t>
      </w:r>
      <w:r>
        <w:rPr>
          <w:rFonts w:hint="eastAsia" w:ascii="仿宋_GB2312" w:hAnsi="黑体" w:eastAsia="仿宋_GB2312"/>
          <w:sz w:val="32"/>
          <w:szCs w:val="32"/>
        </w:rPr>
        <w:t>鼓励代理</w:t>
      </w:r>
      <w:r>
        <w:rPr>
          <w:rFonts w:hint="eastAsia" w:ascii="仿宋_GB2312" w:hAnsi="黑体" w:eastAsia="仿宋_GB2312"/>
          <w:sz w:val="32"/>
          <w:szCs w:val="32"/>
          <w:lang w:eastAsia="zh-CN"/>
        </w:rPr>
        <w:t>机构</w:t>
      </w:r>
      <w:r>
        <w:rPr>
          <w:rFonts w:hint="eastAsia" w:ascii="仿宋_GB2312" w:hAnsi="黑体" w:eastAsia="仿宋_GB2312"/>
          <w:sz w:val="32"/>
          <w:szCs w:val="32"/>
        </w:rPr>
        <w:t>利用大数据和人工智能技术</w:t>
      </w:r>
      <w:r>
        <w:rPr>
          <w:rFonts w:hint="eastAsia" w:ascii="仿宋_GB2312" w:hAnsi="黑体" w:eastAsia="仿宋_GB2312"/>
          <w:sz w:val="32"/>
          <w:szCs w:val="32"/>
          <w:lang w:eastAsia="zh-CN"/>
        </w:rPr>
        <w:t>，</w:t>
      </w:r>
      <w:r>
        <w:rPr>
          <w:rFonts w:hint="eastAsia" w:ascii="仿宋_GB2312" w:eastAsia="仿宋_GB2312"/>
          <w:sz w:val="32"/>
          <w:szCs w:val="32"/>
          <w:lang w:val="en-US" w:eastAsia="zh-CN"/>
        </w:rPr>
        <w:t>不断提升在采购需求设定、采购流程执行、采购合同拟定等方面的专业化服务能力。</w:t>
      </w:r>
    </w:p>
    <w:p w14:paraId="106BF7F1">
      <w:pPr>
        <w:keepNext w:val="0"/>
        <w:keepLines w:val="0"/>
        <w:pageBreakBefore w:val="0"/>
        <w:numPr>
          <w:ilvl w:val="0"/>
          <w:numId w:val="0"/>
        </w:numPr>
        <w:kinsoku/>
        <w:wordWrap/>
        <w:overflowPunct w:val="0"/>
        <w:topLinePunct w:val="0"/>
        <w:autoSpaceDE/>
        <w:bidi w:val="0"/>
        <w:adjustRightInd/>
        <w:spacing w:line="560" w:lineRule="exact"/>
        <w:ind w:leftChars="0" w:right="0" w:rightChars="0" w:firstLine="640" w:firstLineChars="200"/>
        <w:textAlignment w:val="auto"/>
        <w:rPr>
          <w:rFonts w:ascii="仿宋_GB2312" w:eastAsia="仿宋_GB2312"/>
          <w:sz w:val="32"/>
          <w:szCs w:val="32"/>
        </w:rPr>
      </w:pPr>
      <w:r>
        <w:rPr>
          <w:rFonts w:hint="eastAsia" w:ascii="黑体" w:hAnsi="黑体" w:eastAsia="黑体" w:cs="黑体"/>
          <w:sz w:val="32"/>
          <w:szCs w:val="32"/>
          <w:lang w:eastAsia="zh-CN"/>
        </w:rPr>
        <w:t>第七条</w:t>
      </w:r>
      <w:r>
        <w:rPr>
          <w:rFonts w:hint="eastAsia" w:ascii="仿宋_GB2312" w:eastAsia="仿宋_GB2312"/>
          <w:sz w:val="32"/>
          <w:szCs w:val="32"/>
          <w:lang w:val="en-US" w:eastAsia="zh-CN"/>
        </w:rPr>
        <w:t xml:space="preserve">  </w:t>
      </w:r>
      <w:r>
        <w:rPr>
          <w:rFonts w:ascii="仿宋_GB2312" w:eastAsia="仿宋_GB2312"/>
          <w:sz w:val="32"/>
          <w:szCs w:val="32"/>
        </w:rPr>
        <w:t>代理机构应当</w:t>
      </w:r>
      <w:r>
        <w:rPr>
          <w:rFonts w:hint="eastAsia" w:ascii="仿宋_GB2312" w:eastAsia="仿宋_GB2312"/>
          <w:sz w:val="32"/>
          <w:szCs w:val="32"/>
        </w:rPr>
        <w:t>遵循</w:t>
      </w:r>
      <w:r>
        <w:rPr>
          <w:rFonts w:ascii="仿宋_GB2312" w:eastAsia="仿宋_GB2312"/>
          <w:sz w:val="32"/>
          <w:szCs w:val="32"/>
        </w:rPr>
        <w:t>公开、公平、公正</w:t>
      </w:r>
      <w:r>
        <w:rPr>
          <w:rFonts w:hint="eastAsia" w:ascii="仿宋_GB2312" w:eastAsia="仿宋_GB2312"/>
          <w:sz w:val="32"/>
          <w:szCs w:val="32"/>
        </w:rPr>
        <w:t>、</w:t>
      </w:r>
      <w:r>
        <w:rPr>
          <w:rFonts w:hint="eastAsia" w:ascii="仿宋_GB2312" w:eastAsia="仿宋_GB2312"/>
          <w:sz w:val="32"/>
          <w:szCs w:val="32"/>
          <w:lang w:eastAsia="zh-CN"/>
        </w:rPr>
        <w:t>诚实</w:t>
      </w:r>
      <w:r>
        <w:rPr>
          <w:rFonts w:ascii="仿宋_GB2312" w:eastAsia="仿宋_GB2312"/>
          <w:sz w:val="32"/>
          <w:szCs w:val="32"/>
        </w:rPr>
        <w:t>和效率原则，</w:t>
      </w:r>
      <w:r>
        <w:rPr>
          <w:rFonts w:hint="eastAsia" w:ascii="仿宋_GB2312" w:eastAsia="仿宋_GB2312"/>
          <w:sz w:val="32"/>
          <w:szCs w:val="32"/>
        </w:rPr>
        <w:t>依法依规开展政府采购代理业务，自觉接受社会监督。</w:t>
      </w:r>
    </w:p>
    <w:p w14:paraId="7E22C420">
      <w:pPr>
        <w:keepNext w:val="0"/>
        <w:keepLines w:val="0"/>
        <w:pageBreakBefore w:val="0"/>
        <w:numPr>
          <w:ilvl w:val="0"/>
          <w:numId w:val="0"/>
        </w:numPr>
        <w:kinsoku/>
        <w:wordWrap/>
        <w:overflowPunct w:val="0"/>
        <w:topLinePunct w:val="0"/>
        <w:autoSpaceDE/>
        <w:bidi w:val="0"/>
        <w:adjustRightInd/>
        <w:spacing w:line="560" w:lineRule="exact"/>
        <w:ind w:leftChars="0" w:right="0" w:rightChars="0" w:firstLine="640" w:firstLineChars="200"/>
        <w:textAlignment w:val="auto"/>
        <w:rPr>
          <w:rFonts w:hint="eastAsia" w:ascii="仿宋_GB2312" w:hAnsi="仿宋_GB2312" w:eastAsia="仿宋_GB2312"/>
          <w:sz w:val="32"/>
        </w:rPr>
      </w:pPr>
      <w:r>
        <w:rPr>
          <w:rFonts w:hint="eastAsia" w:ascii="黑体" w:hAnsi="黑体" w:eastAsia="黑体" w:cs="黑体"/>
          <w:sz w:val="32"/>
          <w:szCs w:val="32"/>
          <w:lang w:eastAsia="zh-CN"/>
        </w:rPr>
        <w:t>第八条</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财政部门应当加强对代理机构的政府采购业务培训，引导代理机构走差异化发展道路。鼓励行业协会等社会力量开展培训，推动形成代理机构行业统一服务规范和专业能力评价标准。</w:t>
      </w:r>
    </w:p>
    <w:p w14:paraId="397EADA3">
      <w:pPr>
        <w:keepNext w:val="0"/>
        <w:keepLines w:val="0"/>
        <w:pageBreakBefore w:val="0"/>
        <w:numPr>
          <w:ilvl w:val="0"/>
          <w:numId w:val="0"/>
        </w:numPr>
        <w:kinsoku/>
        <w:wordWrap/>
        <w:overflowPunct w:val="0"/>
        <w:topLinePunct w:val="0"/>
        <w:autoSpaceDE/>
        <w:bidi w:val="0"/>
        <w:adjustRightInd/>
        <w:spacing w:line="560" w:lineRule="exact"/>
        <w:ind w:leftChars="0" w:right="0" w:rightChars="0"/>
        <w:jc w:val="center"/>
        <w:textAlignment w:val="auto"/>
        <w:rPr>
          <w:rFonts w:hint="eastAsia" w:ascii="黑体" w:hAnsi="黑体" w:eastAsia="黑体"/>
          <w:sz w:val="32"/>
        </w:rPr>
      </w:pPr>
      <w:r>
        <w:rPr>
          <w:rFonts w:hint="eastAsia" w:ascii="黑体" w:hAnsi="黑体" w:eastAsia="黑体"/>
          <w:sz w:val="32"/>
        </w:rPr>
        <w:t xml:space="preserve"> </w:t>
      </w:r>
      <w:r>
        <w:rPr>
          <w:rFonts w:hint="eastAsia" w:ascii="黑体" w:hAnsi="黑体" w:eastAsia="黑体"/>
          <w:sz w:val="32"/>
          <w:lang w:eastAsia="zh-CN"/>
        </w:rPr>
        <w:t>第二章</w:t>
      </w:r>
      <w:r>
        <w:rPr>
          <w:rFonts w:hint="eastAsia" w:ascii="黑体" w:hAnsi="黑体" w:eastAsia="黑体"/>
          <w:sz w:val="32"/>
          <w:lang w:val="en-US" w:eastAsia="zh-CN"/>
        </w:rPr>
        <w:t xml:space="preserve">  </w:t>
      </w:r>
      <w:r>
        <w:rPr>
          <w:rFonts w:hint="eastAsia" w:ascii="黑体" w:hAnsi="黑体" w:eastAsia="黑体"/>
          <w:sz w:val="32"/>
        </w:rPr>
        <w:t>代理机构</w:t>
      </w:r>
      <w:r>
        <w:rPr>
          <w:rFonts w:hint="eastAsia" w:ascii="黑体" w:hAnsi="黑体" w:eastAsia="黑体"/>
          <w:sz w:val="32"/>
          <w:lang w:eastAsia="zh-CN"/>
        </w:rPr>
        <w:t>名录登记</w:t>
      </w:r>
    </w:p>
    <w:p w14:paraId="78076CD1">
      <w:pPr>
        <w:keepNext w:val="0"/>
        <w:keepLines w:val="0"/>
        <w:pageBreakBefore w:val="0"/>
        <w:kinsoku/>
        <w:wordWrap/>
        <w:overflowPunct w:val="0"/>
        <w:topLinePunct w:val="0"/>
        <w:autoSpaceDE/>
        <w:bidi w:val="0"/>
        <w:adjustRightInd/>
        <w:spacing w:line="560" w:lineRule="exact"/>
        <w:ind w:left="0" w:leftChars="0" w:right="0" w:firstLine="640" w:firstLineChars="200"/>
        <w:textAlignment w:val="auto"/>
        <w:rPr>
          <w:rFonts w:hint="eastAsia" w:ascii="仿宋_GB2312" w:hAnsi="仿宋_GB2312" w:eastAsia="仿宋_GB2312"/>
          <w:sz w:val="32"/>
        </w:rPr>
      </w:pPr>
      <w:r>
        <w:rPr>
          <w:rFonts w:hint="eastAsia" w:ascii="黑体" w:hAnsi="黑体" w:eastAsia="黑体"/>
          <w:sz w:val="32"/>
        </w:rPr>
        <w:t>第</w:t>
      </w:r>
      <w:r>
        <w:rPr>
          <w:rFonts w:hint="eastAsia" w:ascii="黑体" w:hAnsi="黑体" w:eastAsia="黑体"/>
          <w:sz w:val="32"/>
          <w:lang w:eastAsia="zh-CN"/>
        </w:rPr>
        <w:t>九</w:t>
      </w:r>
      <w:r>
        <w:rPr>
          <w:rFonts w:hint="eastAsia" w:ascii="黑体" w:hAnsi="黑体" w:eastAsia="黑体"/>
          <w:sz w:val="32"/>
        </w:rPr>
        <w:t xml:space="preserve">条 </w:t>
      </w:r>
      <w:r>
        <w:rPr>
          <w:rFonts w:hint="eastAsia" w:ascii="仿宋_GB2312" w:hAnsi="仿宋_GB2312" w:eastAsia="仿宋_GB2312"/>
          <w:sz w:val="32"/>
        </w:rPr>
        <w:t xml:space="preserve"> </w:t>
      </w:r>
      <w:r>
        <w:rPr>
          <w:rFonts w:hint="eastAsia" w:ascii="仿宋_GB2312" w:hAnsi="仿宋_GB2312" w:eastAsia="仿宋_GB2312"/>
          <w:sz w:val="32"/>
          <w:lang w:eastAsia="zh-CN"/>
        </w:rPr>
        <w:t>代理机构实行名录登记管理。</w:t>
      </w:r>
      <w:r>
        <w:rPr>
          <w:rFonts w:hint="eastAsia" w:ascii="仿宋_GB2312" w:hAnsi="仿宋_GB2312" w:eastAsia="仿宋_GB2312"/>
          <w:sz w:val="32"/>
        </w:rPr>
        <w:t>符合从业条件的代理机构</w:t>
      </w:r>
      <w:r>
        <w:rPr>
          <w:rFonts w:hint="eastAsia" w:ascii="仿宋_GB2312" w:hAnsi="仿宋_GB2312" w:eastAsia="仿宋_GB2312"/>
          <w:sz w:val="32"/>
          <w:lang w:eastAsia="zh-CN"/>
        </w:rPr>
        <w:t>应在</w:t>
      </w:r>
      <w:r>
        <w:rPr>
          <w:rFonts w:hint="eastAsia" w:ascii="仿宋_GB2312" w:hAnsi="仿宋_GB2312" w:eastAsia="仿宋_GB2312"/>
          <w:sz w:val="32"/>
        </w:rPr>
        <w:t>“中国政府采购网”（www.ccgp.gov.cn）</w:t>
      </w:r>
      <w:r>
        <w:rPr>
          <w:rFonts w:hint="eastAsia" w:ascii="仿宋_GB2312" w:hAnsi="仿宋_GB2312" w:eastAsia="仿宋_GB2312"/>
          <w:sz w:val="32"/>
          <w:lang w:eastAsia="zh-CN"/>
        </w:rPr>
        <w:t>及“青海政府采购网”</w:t>
      </w:r>
      <w:r>
        <w:rPr>
          <w:rFonts w:hint="eastAsia" w:ascii="仿宋_GB2312" w:hAnsi="仿宋_GB2312" w:eastAsia="仿宋_GB2312"/>
          <w:sz w:val="32"/>
        </w:rPr>
        <w:t>（www.ccgp-qinghai.gov.cn）完成在线</w:t>
      </w:r>
      <w:r>
        <w:rPr>
          <w:rFonts w:hint="eastAsia" w:ascii="仿宋_GB2312" w:hAnsi="仿宋_GB2312" w:eastAsia="仿宋_GB2312"/>
          <w:sz w:val="32"/>
          <w:lang w:eastAsia="zh-CN"/>
        </w:rPr>
        <w:t>注册</w:t>
      </w:r>
      <w:r>
        <w:rPr>
          <w:rFonts w:hint="eastAsia" w:ascii="仿宋_GB2312" w:hAnsi="仿宋_GB2312" w:eastAsia="仿宋_GB2312"/>
          <w:sz w:val="32"/>
        </w:rPr>
        <w:t>登记，</w:t>
      </w:r>
      <w:r>
        <w:rPr>
          <w:rFonts w:hint="eastAsia" w:ascii="仿宋_GB2312" w:hAnsi="仿宋_GB2312" w:eastAsia="仿宋_GB2312"/>
          <w:sz w:val="32"/>
          <w:lang w:eastAsia="zh-CN"/>
        </w:rPr>
        <w:t>并承诺对信息真实性负责，进入“青海政府采购网”代理机构名录</w:t>
      </w:r>
      <w:r>
        <w:rPr>
          <w:rFonts w:hint="eastAsia" w:ascii="仿宋_GB2312" w:hAnsi="仿宋_GB2312" w:eastAsia="仿宋_GB2312"/>
          <w:sz w:val="32"/>
        </w:rPr>
        <w:t>。代理机构登记、注册时需填报以下信息:</w:t>
      </w:r>
    </w:p>
    <w:p w14:paraId="16B4A202">
      <w:pPr>
        <w:keepNext w:val="0"/>
        <w:keepLines w:val="0"/>
        <w:pageBreakBefore w:val="0"/>
        <w:kinsoku/>
        <w:wordWrap/>
        <w:overflowPunct w:val="0"/>
        <w:topLinePunct w:val="0"/>
        <w:autoSpaceDE/>
        <w:bidi w:val="0"/>
        <w:adjustRightInd/>
        <w:spacing w:line="560" w:lineRule="exact"/>
        <w:ind w:left="0" w:leftChars="0" w:right="0" w:firstLine="640" w:firstLineChars="200"/>
        <w:textAlignment w:val="auto"/>
        <w:rPr>
          <w:rFonts w:ascii="仿宋_GB2312" w:eastAsia="仿宋_GB2312"/>
          <w:sz w:val="32"/>
          <w:szCs w:val="32"/>
        </w:rPr>
      </w:pPr>
      <w:r>
        <w:rPr>
          <w:rFonts w:hint="eastAsia" w:ascii="仿宋_GB2312" w:eastAsia="仿宋_GB2312"/>
          <w:sz w:val="32"/>
          <w:szCs w:val="32"/>
        </w:rPr>
        <w:t>（一）代理机构名称、统一社会信用代码、办公场所地址、联系电话等机构信息；</w:t>
      </w:r>
    </w:p>
    <w:p w14:paraId="34BD8C4F">
      <w:pPr>
        <w:keepNext w:val="0"/>
        <w:keepLines w:val="0"/>
        <w:pageBreakBefore w:val="0"/>
        <w:kinsoku/>
        <w:wordWrap/>
        <w:overflowPunct w:val="0"/>
        <w:topLinePunct w:val="0"/>
        <w:autoSpaceDE/>
        <w:bidi w:val="0"/>
        <w:adjustRightInd/>
        <w:spacing w:line="560" w:lineRule="exact"/>
        <w:ind w:left="0" w:leftChars="0" w:right="0" w:firstLine="640" w:firstLineChars="200"/>
        <w:textAlignment w:val="auto"/>
        <w:rPr>
          <w:rFonts w:ascii="仿宋_GB2312" w:eastAsia="仿宋_GB2312"/>
          <w:sz w:val="32"/>
          <w:szCs w:val="32"/>
        </w:rPr>
      </w:pPr>
      <w:r>
        <w:rPr>
          <w:rFonts w:hint="eastAsia" w:ascii="仿宋_GB2312" w:eastAsia="仿宋_GB2312"/>
          <w:sz w:val="32"/>
          <w:szCs w:val="32"/>
        </w:rPr>
        <w:t>（二）法定代表人及</w:t>
      </w:r>
      <w:r>
        <w:rPr>
          <w:rFonts w:hint="eastAsia" w:ascii="仿宋_GB2312" w:eastAsia="仿宋_GB2312"/>
          <w:sz w:val="32"/>
          <w:szCs w:val="32"/>
          <w:lang w:eastAsia="zh-CN"/>
        </w:rPr>
        <w:t>不少于</w:t>
      </w:r>
      <w:r>
        <w:rPr>
          <w:rFonts w:hint="eastAsia" w:ascii="仿宋_GB2312" w:eastAsia="仿宋_GB2312"/>
          <w:sz w:val="32"/>
          <w:szCs w:val="32"/>
          <w:lang w:val="en-US" w:eastAsia="zh-CN"/>
        </w:rPr>
        <w:t>5名</w:t>
      </w:r>
      <w:r>
        <w:rPr>
          <w:rFonts w:hint="eastAsia" w:ascii="仿宋_GB2312" w:eastAsia="仿宋_GB2312"/>
          <w:sz w:val="32"/>
          <w:szCs w:val="32"/>
        </w:rPr>
        <w:t>专职人员有效身份证明</w:t>
      </w:r>
      <w:r>
        <w:rPr>
          <w:rFonts w:hint="eastAsia" w:ascii="仿宋_GB2312" w:eastAsia="仿宋_GB2312"/>
          <w:sz w:val="32"/>
          <w:szCs w:val="32"/>
          <w:lang w:eastAsia="zh-CN"/>
        </w:rPr>
        <w:t>、</w:t>
      </w:r>
      <w:r>
        <w:rPr>
          <w:rFonts w:hint="eastAsia" w:ascii="仿宋_GB2312" w:eastAsia="仿宋_GB2312"/>
          <w:sz w:val="32"/>
          <w:szCs w:val="32"/>
        </w:rPr>
        <w:t>与代理机构签订的劳动合同等信息、所在代理机构近</w:t>
      </w:r>
      <w:r>
        <w:rPr>
          <w:rFonts w:hint="eastAsia" w:ascii="仿宋_GB2312" w:eastAsia="仿宋_GB2312"/>
          <w:sz w:val="32"/>
          <w:szCs w:val="32"/>
          <w:lang w:val="en-US" w:eastAsia="zh-CN"/>
        </w:rPr>
        <w:t>1</w:t>
      </w:r>
      <w:r>
        <w:rPr>
          <w:rFonts w:hint="eastAsia" w:ascii="仿宋_GB2312" w:eastAsia="仿宋_GB2312"/>
          <w:sz w:val="32"/>
          <w:szCs w:val="32"/>
        </w:rPr>
        <w:t>个月内为专职人员缴纳社会保险费</w:t>
      </w:r>
      <w:r>
        <w:rPr>
          <w:rFonts w:hint="eastAsia" w:ascii="仿宋_GB2312" w:eastAsia="仿宋_GB2312"/>
          <w:sz w:val="32"/>
          <w:szCs w:val="32"/>
          <w:lang w:eastAsia="zh-CN"/>
        </w:rPr>
        <w:t>等</w:t>
      </w:r>
      <w:r>
        <w:rPr>
          <w:rFonts w:hint="eastAsia" w:ascii="仿宋_GB2312" w:eastAsia="仿宋_GB2312"/>
          <w:sz w:val="32"/>
          <w:szCs w:val="32"/>
        </w:rPr>
        <w:t>相关证明；</w:t>
      </w:r>
    </w:p>
    <w:p w14:paraId="505F0937">
      <w:pPr>
        <w:keepNext w:val="0"/>
        <w:keepLines w:val="0"/>
        <w:pageBreakBefore w:val="0"/>
        <w:kinsoku/>
        <w:wordWrap/>
        <w:overflowPunct w:val="0"/>
        <w:topLinePunct w:val="0"/>
        <w:autoSpaceDE/>
        <w:bidi w:val="0"/>
        <w:adjustRightInd/>
        <w:spacing w:line="560" w:lineRule="exact"/>
        <w:ind w:left="0" w:leftChars="0" w:right="0"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（三）内部监督管理制度，</w:t>
      </w:r>
      <w:r>
        <w:rPr>
          <w:rFonts w:hint="eastAsia" w:ascii="仿宋_GB2312" w:hAnsi="仿宋_GB2312" w:eastAsia="仿宋_GB2312"/>
          <w:sz w:val="32"/>
        </w:rPr>
        <w:t>包括：</w:t>
      </w:r>
      <w:r>
        <w:rPr>
          <w:rFonts w:hint="eastAsia" w:ascii="仿宋_GB2312" w:hAnsi="仿宋_GB2312" w:eastAsia="仿宋_GB2312"/>
          <w:sz w:val="32"/>
          <w:lang w:eastAsia="zh-CN"/>
        </w:rPr>
        <w:t>内控管理制度、人员培训管理制度、采购代理执行工作制度、</w:t>
      </w:r>
      <w:r>
        <w:rPr>
          <w:rFonts w:hint="eastAsia" w:ascii="仿宋_GB2312" w:hAnsi="仿宋_GB2312" w:eastAsia="仿宋_GB2312"/>
          <w:sz w:val="32"/>
        </w:rPr>
        <w:t>采购档案管理制度、廉洁制度等</w:t>
      </w:r>
      <w:r>
        <w:rPr>
          <w:rFonts w:hint="eastAsia" w:ascii="仿宋_GB2312" w:hAnsi="仿宋_GB2312" w:eastAsia="仿宋_GB2312"/>
          <w:sz w:val="32"/>
          <w:szCs w:val="32"/>
        </w:rPr>
        <w:t>；</w:t>
      </w:r>
    </w:p>
    <w:p w14:paraId="667828A6">
      <w:pPr>
        <w:keepNext w:val="0"/>
        <w:keepLines w:val="0"/>
        <w:pageBreakBefore w:val="0"/>
        <w:kinsoku/>
        <w:wordWrap/>
        <w:overflowPunct w:val="0"/>
        <w:topLinePunct w:val="0"/>
        <w:autoSpaceDE/>
        <w:bidi w:val="0"/>
        <w:adjustRightInd/>
        <w:spacing w:line="560" w:lineRule="exact"/>
        <w:ind w:left="0" w:leftChars="0" w:right="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（四）</w:t>
      </w:r>
      <w:r>
        <w:rPr>
          <w:rFonts w:hint="eastAsia" w:ascii="仿宋_GB2312" w:eastAsia="仿宋_GB2312"/>
          <w:sz w:val="32"/>
          <w:szCs w:val="32"/>
          <w:lang w:eastAsia="zh-CN"/>
        </w:rPr>
        <w:t>评审条件和设施信息。</w:t>
      </w:r>
      <w:r>
        <w:rPr>
          <w:rFonts w:hint="eastAsia" w:ascii="仿宋_GB2312" w:eastAsia="仿宋_GB2312"/>
          <w:sz w:val="32"/>
          <w:szCs w:val="32"/>
        </w:rPr>
        <w:t>在自有场所组织评审工作的，应当提供评审场所地址、评审室照片、实时监控设备设施等情况；</w:t>
      </w:r>
      <w:r>
        <w:rPr>
          <w:rFonts w:hint="eastAsia" w:ascii="仿宋_GB2312" w:eastAsia="仿宋_GB2312"/>
          <w:sz w:val="32"/>
          <w:szCs w:val="32"/>
          <w:lang w:eastAsia="zh-CN"/>
        </w:rPr>
        <w:t>在非自有场所组织评审工作的，还应当提供对场所、录音录像设备、监控设备有合法使用权的证明材料。</w:t>
      </w:r>
    </w:p>
    <w:p w14:paraId="210A7115">
      <w:pPr>
        <w:keepNext w:val="0"/>
        <w:keepLines w:val="0"/>
        <w:pageBreakBefore w:val="0"/>
        <w:kinsoku/>
        <w:wordWrap/>
        <w:overflowPunct w:val="0"/>
        <w:topLinePunct w:val="0"/>
        <w:autoSpaceDE/>
        <w:bidi w:val="0"/>
        <w:adjustRightInd/>
        <w:spacing w:line="560" w:lineRule="exact"/>
        <w:ind w:left="0" w:leftChars="0" w:right="0"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）省级财政部门要求提供的其他材料。</w:t>
      </w:r>
    </w:p>
    <w:p w14:paraId="667E0495">
      <w:pPr>
        <w:keepNext w:val="0"/>
        <w:keepLines w:val="0"/>
        <w:pageBreakBefore w:val="0"/>
        <w:numPr>
          <w:ilvl w:val="0"/>
          <w:numId w:val="0"/>
        </w:numPr>
        <w:kinsoku/>
        <w:wordWrap/>
        <w:overflowPunct w:val="0"/>
        <w:topLinePunct w:val="0"/>
        <w:autoSpaceDE/>
        <w:bidi w:val="0"/>
        <w:adjustRightInd/>
        <w:spacing w:line="560" w:lineRule="exact"/>
        <w:ind w:leftChars="0" w:right="0" w:rightChars="0" w:firstLine="640" w:firstLineChars="200"/>
        <w:textAlignment w:val="auto"/>
        <w:rPr>
          <w:rFonts w:hint="eastAsia" w:ascii="仿宋_GB2312" w:eastAsia="仿宋_GB2312"/>
          <w:sz w:val="32"/>
          <w:szCs w:val="32"/>
        </w:rPr>
      </w:pPr>
      <w:r>
        <w:rPr>
          <w:rFonts w:hint="eastAsia" w:ascii="黑体" w:hAnsi="黑体" w:eastAsia="黑体"/>
          <w:sz w:val="32"/>
        </w:rPr>
        <w:t>第</w:t>
      </w:r>
      <w:r>
        <w:rPr>
          <w:rFonts w:hint="eastAsia" w:ascii="黑体" w:hAnsi="黑体" w:eastAsia="黑体"/>
          <w:sz w:val="32"/>
          <w:lang w:eastAsia="zh-CN"/>
        </w:rPr>
        <w:t>十</w:t>
      </w:r>
      <w:r>
        <w:rPr>
          <w:rFonts w:hint="eastAsia" w:ascii="黑体" w:hAnsi="黑体" w:eastAsia="黑体"/>
          <w:sz w:val="32"/>
        </w:rPr>
        <w:t xml:space="preserve">条 </w:t>
      </w:r>
      <w:r>
        <w:rPr>
          <w:rFonts w:hint="eastAsia" w:ascii="仿宋_GB2312" w:eastAsia="仿宋_GB2312"/>
          <w:sz w:val="32"/>
          <w:szCs w:val="32"/>
        </w:rPr>
        <w:t xml:space="preserve"> 省财政厅依托“</w:t>
      </w:r>
      <w:r>
        <w:rPr>
          <w:rFonts w:hint="eastAsia" w:ascii="仿宋_GB2312" w:eastAsia="仿宋_GB2312"/>
          <w:sz w:val="32"/>
          <w:szCs w:val="32"/>
          <w:lang w:eastAsia="zh-CN"/>
        </w:rPr>
        <w:t>青海政府采购网</w:t>
      </w:r>
      <w:r>
        <w:rPr>
          <w:rFonts w:hint="eastAsia" w:ascii="仿宋_GB2312" w:eastAsia="仿宋_GB2312"/>
          <w:sz w:val="32"/>
          <w:szCs w:val="32"/>
        </w:rPr>
        <w:t>”建立政府采购代理机构名录并向社会公开。采购人应当根据项目特点、代理机构专业领域和记分结果等，从名录中自主择优选择代理机构。</w:t>
      </w:r>
    </w:p>
    <w:p w14:paraId="39ED55D9">
      <w:pPr>
        <w:keepNext w:val="0"/>
        <w:keepLines w:val="0"/>
        <w:pageBreakBefore w:val="0"/>
        <w:kinsoku/>
        <w:wordWrap/>
        <w:overflowPunct w:val="0"/>
        <w:topLinePunct w:val="0"/>
        <w:autoSpaceDE/>
        <w:bidi w:val="0"/>
        <w:adjustRightInd/>
        <w:spacing w:line="560" w:lineRule="exact"/>
        <w:ind w:left="0" w:leftChars="0" w:right="0" w:firstLine="640" w:firstLineChars="200"/>
        <w:textAlignment w:val="auto"/>
        <w:rPr>
          <w:rFonts w:hint="eastAsia" w:ascii="仿宋_GB2312" w:eastAsia="仿宋_GB2312"/>
          <w:sz w:val="32"/>
          <w:szCs w:val="32"/>
        </w:rPr>
      </w:pPr>
      <w:r>
        <w:rPr>
          <w:rFonts w:hint="eastAsia" w:ascii="黑体" w:hAnsi="黑体" w:eastAsia="黑体"/>
          <w:sz w:val="32"/>
        </w:rPr>
        <w:t>第</w:t>
      </w:r>
      <w:r>
        <w:rPr>
          <w:rFonts w:hint="eastAsia" w:ascii="黑体" w:hAnsi="黑体" w:eastAsia="黑体"/>
          <w:sz w:val="32"/>
          <w:lang w:eastAsia="zh-CN"/>
        </w:rPr>
        <w:t>十一</w:t>
      </w:r>
      <w:r>
        <w:rPr>
          <w:rFonts w:hint="eastAsia" w:ascii="黑体" w:hAnsi="黑体" w:eastAsia="黑体"/>
          <w:sz w:val="32"/>
        </w:rPr>
        <w:t xml:space="preserve">条 </w:t>
      </w:r>
      <w:r>
        <w:rPr>
          <w:rFonts w:hint="eastAsia" w:ascii="仿宋_GB2312" w:eastAsia="仿宋_GB2312"/>
          <w:sz w:val="32"/>
          <w:szCs w:val="32"/>
        </w:rPr>
        <w:t xml:space="preserve"> 代理机构发生登记信息变更的，应当在信息变更之日起10个工作日内在“</w:t>
      </w:r>
      <w:r>
        <w:rPr>
          <w:rFonts w:hint="eastAsia" w:ascii="仿宋_GB2312" w:hAnsi="仿宋_GB2312" w:eastAsia="仿宋_GB2312"/>
          <w:sz w:val="32"/>
        </w:rPr>
        <w:t>中国政府采购网</w:t>
      </w:r>
      <w:r>
        <w:rPr>
          <w:rFonts w:hint="eastAsia" w:ascii="仿宋_GB2312" w:eastAsia="仿宋_GB2312"/>
          <w:sz w:val="32"/>
          <w:szCs w:val="32"/>
        </w:rPr>
        <w:t>”和</w:t>
      </w:r>
      <w:r>
        <w:rPr>
          <w:rFonts w:hint="eastAsia" w:ascii="仿宋_GB2312" w:hAnsi="仿宋_GB2312" w:eastAsia="仿宋_GB2312"/>
          <w:sz w:val="32"/>
        </w:rPr>
        <w:t>“</w:t>
      </w:r>
      <w:r>
        <w:rPr>
          <w:rFonts w:hint="eastAsia" w:ascii="仿宋_GB2312" w:hAnsi="仿宋_GB2312" w:eastAsia="仿宋_GB2312"/>
          <w:sz w:val="32"/>
          <w:lang w:eastAsia="zh-CN"/>
        </w:rPr>
        <w:t>青海</w:t>
      </w:r>
      <w:r>
        <w:rPr>
          <w:rFonts w:hint="eastAsia" w:ascii="仿宋_GB2312" w:hAnsi="仿宋_GB2312" w:eastAsia="仿宋_GB2312"/>
          <w:sz w:val="32"/>
        </w:rPr>
        <w:t>政府采购网”</w:t>
      </w:r>
      <w:r>
        <w:rPr>
          <w:rFonts w:hint="eastAsia" w:ascii="仿宋_GB2312" w:eastAsia="仿宋_GB2312"/>
          <w:sz w:val="32"/>
          <w:szCs w:val="32"/>
          <w:lang w:eastAsia="zh-CN"/>
        </w:rPr>
        <w:t>自行更新信息</w:t>
      </w:r>
      <w:r>
        <w:rPr>
          <w:rFonts w:hint="eastAsia" w:ascii="仿宋_GB2312" w:eastAsia="仿宋_GB2312"/>
          <w:sz w:val="32"/>
          <w:szCs w:val="32"/>
        </w:rPr>
        <w:t>。</w:t>
      </w:r>
    </w:p>
    <w:p w14:paraId="71BBD922">
      <w:pPr>
        <w:keepNext w:val="0"/>
        <w:keepLines w:val="0"/>
        <w:pageBreakBefore w:val="0"/>
        <w:kinsoku/>
        <w:wordWrap/>
        <w:topLinePunct w:val="0"/>
        <w:autoSpaceDE/>
        <w:bidi w:val="0"/>
        <w:adjustRightInd/>
        <w:spacing w:line="560" w:lineRule="exact"/>
        <w:ind w:leftChars="0" w:firstLine="640" w:firstLineChars="200"/>
        <w:rPr>
          <w:rFonts w:hint="eastAsia" w:ascii="仿宋_GB2312" w:eastAsia="仿宋_GB2312"/>
          <w:sz w:val="32"/>
          <w:szCs w:val="32"/>
          <w:lang w:eastAsia="zh-CN"/>
        </w:rPr>
      </w:pPr>
      <w:r>
        <w:rPr>
          <w:rFonts w:hint="eastAsia" w:ascii="黑体" w:hAnsi="黑体" w:eastAsia="黑体"/>
          <w:sz w:val="32"/>
        </w:rPr>
        <w:t>第十</w:t>
      </w:r>
      <w:r>
        <w:rPr>
          <w:rFonts w:hint="eastAsia" w:ascii="黑体" w:hAnsi="黑体" w:eastAsia="黑体"/>
          <w:sz w:val="32"/>
          <w:lang w:eastAsia="zh-CN"/>
        </w:rPr>
        <w:t>二</w:t>
      </w:r>
      <w:r>
        <w:rPr>
          <w:rFonts w:hint="eastAsia" w:ascii="黑体" w:hAnsi="黑体" w:eastAsia="黑体"/>
          <w:sz w:val="32"/>
        </w:rPr>
        <w:t xml:space="preserve">条 </w:t>
      </w:r>
      <w:r>
        <w:rPr>
          <w:rFonts w:hint="eastAsia" w:ascii="黑体" w:hAnsi="黑体" w:eastAsia="黑体"/>
          <w:sz w:val="32"/>
          <w:lang w:val="en-US" w:eastAsia="zh-CN"/>
        </w:rPr>
        <w:t xml:space="preserve"> </w:t>
      </w:r>
      <w:r>
        <w:rPr>
          <w:rFonts w:hint="eastAsia" w:ascii="仿宋_GB2312" w:eastAsia="仿宋_GB2312"/>
          <w:sz w:val="32"/>
          <w:szCs w:val="32"/>
        </w:rPr>
        <w:t>已登记进入名录库的代理机构停业、拟注销名录登记的,应当在20个工作日内向相关采购人移交档案,并向省财政厅提交《</w:t>
      </w:r>
      <w:r>
        <w:rPr>
          <w:rFonts w:hint="eastAsia" w:ascii="仿宋_GB2312" w:eastAsia="仿宋_GB2312"/>
          <w:sz w:val="32"/>
          <w:szCs w:val="32"/>
          <w:lang w:eastAsia="zh-CN"/>
        </w:rPr>
        <w:t>青海</w:t>
      </w:r>
      <w:r>
        <w:rPr>
          <w:rFonts w:hint="eastAsia" w:ascii="仿宋_GB2312" w:eastAsia="仿宋_GB2312"/>
          <w:sz w:val="32"/>
          <w:szCs w:val="32"/>
        </w:rPr>
        <w:t>省政府采购代理机构注销名录登记申请表》</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详见</w:t>
      </w:r>
      <w:r>
        <w:rPr>
          <w:rFonts w:hint="eastAsia" w:ascii="楷体_GB2312" w:hAnsi="楷体_GB2312" w:eastAsia="楷体_GB2312" w:cs="楷体_GB2312"/>
          <w:sz w:val="32"/>
          <w:szCs w:val="32"/>
        </w:rPr>
        <w:t>附件1</w:t>
      </w:r>
      <w:r>
        <w:rPr>
          <w:rFonts w:hint="eastAsia" w:ascii="仿宋_GB2312" w:eastAsia="仿宋_GB2312"/>
          <w:sz w:val="32"/>
          <w:szCs w:val="32"/>
        </w:rPr>
        <w:t>),省财政厅</w:t>
      </w:r>
      <w:r>
        <w:rPr>
          <w:rFonts w:hint="eastAsia" w:ascii="仿宋_GB2312" w:eastAsia="仿宋_GB2312"/>
          <w:sz w:val="32"/>
          <w:szCs w:val="32"/>
          <w:lang w:eastAsia="zh-CN"/>
        </w:rPr>
        <w:t>经审查后</w:t>
      </w:r>
      <w:r>
        <w:rPr>
          <w:rFonts w:hint="eastAsia" w:ascii="仿宋_GB2312" w:eastAsia="仿宋_GB2312"/>
          <w:sz w:val="32"/>
          <w:szCs w:val="32"/>
        </w:rPr>
        <w:t>及时注销其名录登记信息</w:t>
      </w:r>
      <w:r>
        <w:rPr>
          <w:rFonts w:hint="eastAsia" w:ascii="仿宋_GB2312" w:eastAsia="仿宋_GB2312"/>
          <w:sz w:val="32"/>
          <w:szCs w:val="32"/>
          <w:lang w:eastAsia="zh-CN"/>
        </w:rPr>
        <w:t>，并</w:t>
      </w:r>
      <w:r>
        <w:rPr>
          <w:rFonts w:hint="eastAsia" w:ascii="仿宋_GB2312" w:eastAsia="仿宋_GB2312"/>
          <w:sz w:val="32"/>
          <w:szCs w:val="32"/>
        </w:rPr>
        <w:t>收回系统操作权限</w:t>
      </w:r>
      <w:r>
        <w:rPr>
          <w:rFonts w:hint="eastAsia" w:ascii="仿宋_GB2312" w:eastAsia="仿宋_GB2312"/>
          <w:sz w:val="32"/>
          <w:szCs w:val="32"/>
          <w:lang w:eastAsia="zh-CN"/>
        </w:rPr>
        <w:t>。</w:t>
      </w:r>
    </w:p>
    <w:p w14:paraId="06ABBEB5">
      <w:pPr>
        <w:keepNext w:val="0"/>
        <w:keepLines w:val="0"/>
        <w:pageBreakBefore w:val="0"/>
        <w:kinsoku/>
        <w:wordWrap/>
        <w:overflowPunct w:val="0"/>
        <w:topLinePunct w:val="0"/>
        <w:autoSpaceDE/>
        <w:bidi w:val="0"/>
        <w:adjustRightInd/>
        <w:spacing w:line="560" w:lineRule="exact"/>
        <w:ind w:left="0" w:leftChars="0" w:right="0" w:firstLine="640" w:firstLineChars="200"/>
        <w:jc w:val="center"/>
        <w:textAlignment w:val="auto"/>
        <w:rPr>
          <w:rFonts w:hint="eastAsia" w:ascii="仿宋_GB2312" w:eastAsia="仿宋_GB2312"/>
          <w:sz w:val="32"/>
          <w:szCs w:val="32"/>
        </w:rPr>
      </w:pPr>
      <w:r>
        <w:rPr>
          <w:rFonts w:hint="eastAsia" w:ascii="黑体" w:hAnsi="黑体" w:eastAsia="黑体"/>
          <w:sz w:val="32"/>
        </w:rPr>
        <w:t xml:space="preserve">第三章  </w:t>
      </w:r>
      <w:r>
        <w:rPr>
          <w:rFonts w:hint="eastAsia" w:ascii="黑体" w:hAnsi="黑体" w:eastAsia="黑体"/>
          <w:sz w:val="32"/>
          <w:lang w:eastAsia="zh-CN"/>
        </w:rPr>
        <w:t>代理机构从业管理</w:t>
      </w:r>
    </w:p>
    <w:p w14:paraId="2EC84BCC">
      <w:pPr>
        <w:keepNext w:val="0"/>
        <w:keepLines w:val="0"/>
        <w:pageBreakBefore w:val="0"/>
        <w:kinsoku/>
        <w:wordWrap/>
        <w:overflowPunct w:val="0"/>
        <w:topLinePunct w:val="0"/>
        <w:autoSpaceDE/>
        <w:bidi w:val="0"/>
        <w:adjustRightInd/>
        <w:spacing w:line="560" w:lineRule="exact"/>
        <w:ind w:left="0" w:leftChars="0" w:right="0" w:firstLine="640" w:firstLineChars="200"/>
        <w:textAlignment w:val="auto"/>
        <w:rPr>
          <w:rFonts w:ascii="仿宋_GB2312" w:hAnsi="仿宋_GB2312" w:eastAsia="仿宋_GB2312"/>
          <w:sz w:val="32"/>
        </w:rPr>
      </w:pPr>
      <w:r>
        <w:rPr>
          <w:rFonts w:hint="eastAsia" w:ascii="黑体" w:hAnsi="黑体" w:eastAsia="黑体"/>
          <w:sz w:val="32"/>
        </w:rPr>
        <w:t>第</w:t>
      </w:r>
      <w:r>
        <w:rPr>
          <w:rFonts w:hint="eastAsia" w:ascii="黑体" w:hAnsi="黑体" w:eastAsia="黑体"/>
          <w:sz w:val="32"/>
          <w:lang w:eastAsia="zh-CN"/>
        </w:rPr>
        <w:t>十三</w:t>
      </w:r>
      <w:r>
        <w:rPr>
          <w:rFonts w:hint="eastAsia" w:ascii="黑体" w:hAnsi="黑体" w:eastAsia="黑体"/>
          <w:sz w:val="32"/>
        </w:rPr>
        <w:t>条</w:t>
      </w:r>
      <w:r>
        <w:rPr>
          <w:rFonts w:hint="eastAsia" w:ascii="仿宋_GB2312" w:hAnsi="仿宋_GB2312" w:eastAsia="仿宋_GB2312"/>
          <w:sz w:val="32"/>
        </w:rPr>
        <w:t xml:space="preserve"> </w:t>
      </w:r>
      <w:r>
        <w:rPr>
          <w:rFonts w:ascii="仿宋_GB2312" w:hAnsi="仿宋_GB2312" w:eastAsia="仿宋_GB2312"/>
          <w:sz w:val="32"/>
        </w:rPr>
        <w:t xml:space="preserve"> </w:t>
      </w:r>
      <w:r>
        <w:rPr>
          <w:rFonts w:hint="eastAsia" w:ascii="仿宋_GB2312" w:hAnsi="仿宋_GB2312" w:eastAsia="仿宋_GB2312"/>
          <w:sz w:val="32"/>
        </w:rPr>
        <w:t>代理机构代理政府采购业务应当具备以下条件：</w:t>
      </w:r>
    </w:p>
    <w:p w14:paraId="56DB8845">
      <w:pPr>
        <w:keepNext w:val="0"/>
        <w:keepLines w:val="0"/>
        <w:pageBreakBefore w:val="0"/>
        <w:kinsoku/>
        <w:wordWrap/>
        <w:overflowPunct w:val="0"/>
        <w:topLinePunct w:val="0"/>
        <w:autoSpaceDE/>
        <w:bidi w:val="0"/>
        <w:adjustRightInd/>
        <w:spacing w:line="560" w:lineRule="exact"/>
        <w:ind w:leftChars="0" w:right="0" w:firstLine="640" w:firstLineChars="200"/>
        <w:textAlignment w:val="auto"/>
        <w:rPr>
          <w:rFonts w:ascii="仿宋_GB2312" w:hAnsi="仿宋_GB2312" w:eastAsia="仿宋_GB2312"/>
          <w:sz w:val="32"/>
        </w:rPr>
      </w:pPr>
      <w:r>
        <w:rPr>
          <w:rFonts w:hint="eastAsia" w:ascii="仿宋_GB2312" w:hAnsi="仿宋_GB2312" w:eastAsia="仿宋_GB2312"/>
          <w:sz w:val="32"/>
        </w:rPr>
        <w:t>（一）具有独立承担民事责任的能力；</w:t>
      </w:r>
    </w:p>
    <w:p w14:paraId="5A64EB52">
      <w:pPr>
        <w:keepNext w:val="0"/>
        <w:keepLines w:val="0"/>
        <w:pageBreakBefore w:val="0"/>
        <w:kinsoku/>
        <w:wordWrap/>
        <w:overflowPunct w:val="0"/>
        <w:topLinePunct w:val="0"/>
        <w:autoSpaceDE/>
        <w:bidi w:val="0"/>
        <w:adjustRightInd/>
        <w:spacing w:line="560" w:lineRule="exact"/>
        <w:ind w:left="0" w:leftChars="0" w:right="0" w:firstLine="640" w:firstLineChars="200"/>
        <w:textAlignment w:val="auto"/>
        <w:rPr>
          <w:rFonts w:ascii="仿宋_GB2312" w:hAnsi="仿宋_GB2312" w:eastAsia="仿宋_GB2312"/>
          <w:sz w:val="32"/>
        </w:rPr>
      </w:pPr>
      <w:r>
        <w:rPr>
          <w:rFonts w:hint="eastAsia" w:ascii="仿宋_GB2312" w:hAnsi="仿宋_GB2312" w:eastAsia="仿宋_GB2312"/>
          <w:sz w:val="32"/>
        </w:rPr>
        <w:t>（二）建立完善的政府采购内部监督管理制度；</w:t>
      </w:r>
    </w:p>
    <w:p w14:paraId="6D740EA8">
      <w:pPr>
        <w:keepNext w:val="0"/>
        <w:keepLines w:val="0"/>
        <w:pageBreakBefore w:val="0"/>
        <w:kinsoku/>
        <w:wordWrap/>
        <w:overflowPunct w:val="0"/>
        <w:topLinePunct w:val="0"/>
        <w:autoSpaceDE/>
        <w:bidi w:val="0"/>
        <w:adjustRightInd/>
        <w:spacing w:line="560" w:lineRule="exact"/>
        <w:ind w:left="0" w:leftChars="0" w:right="0" w:firstLine="640" w:firstLineChars="200"/>
        <w:textAlignment w:val="auto"/>
        <w:rPr>
          <w:rFonts w:ascii="仿宋_GB2312" w:hAnsi="仿宋_GB2312" w:eastAsia="仿宋_GB2312"/>
          <w:sz w:val="32"/>
        </w:rPr>
      </w:pPr>
      <w:r>
        <w:rPr>
          <w:rFonts w:hint="eastAsia" w:ascii="仿宋_GB2312" w:hAnsi="仿宋_GB2312" w:eastAsia="仿宋_GB2312"/>
          <w:sz w:val="32"/>
        </w:rPr>
        <w:t>（三）拥有不少于5名熟悉政府采购法律法规、具备编制采购文件和组织采购活动等相应能力的专职人员；</w:t>
      </w:r>
    </w:p>
    <w:p w14:paraId="576C429D">
      <w:pPr>
        <w:keepNext w:val="0"/>
        <w:keepLines w:val="0"/>
        <w:pageBreakBefore w:val="0"/>
        <w:kinsoku/>
        <w:wordWrap/>
        <w:overflowPunct w:val="0"/>
        <w:topLinePunct w:val="0"/>
        <w:autoSpaceDE/>
        <w:bidi w:val="0"/>
        <w:adjustRightInd/>
        <w:spacing w:line="560" w:lineRule="exact"/>
        <w:ind w:left="0" w:leftChars="0" w:right="0" w:firstLine="640" w:firstLineChars="200"/>
        <w:textAlignment w:val="auto"/>
        <w:rPr>
          <w:rFonts w:ascii="仿宋_GB2312" w:hAnsi="仿宋_GB2312" w:eastAsia="仿宋_GB2312"/>
          <w:sz w:val="32"/>
        </w:rPr>
      </w:pPr>
      <w:r>
        <w:rPr>
          <w:rFonts w:hint="eastAsia" w:ascii="仿宋_GB2312" w:hAnsi="仿宋_GB2312" w:eastAsia="仿宋_GB2312"/>
          <w:sz w:val="32"/>
        </w:rPr>
        <w:t>（四）具备独立办公场所和代理政府采购业务所必需的办公条件；</w:t>
      </w:r>
    </w:p>
    <w:p w14:paraId="0DA9F21B">
      <w:pPr>
        <w:keepNext w:val="0"/>
        <w:keepLines w:val="0"/>
        <w:pageBreakBefore w:val="0"/>
        <w:kinsoku/>
        <w:wordWrap/>
        <w:overflowPunct w:val="0"/>
        <w:topLinePunct w:val="0"/>
        <w:autoSpaceDE/>
        <w:bidi w:val="0"/>
        <w:adjustRightInd/>
        <w:spacing w:line="560" w:lineRule="exact"/>
        <w:ind w:leftChars="0" w:right="0" w:firstLine="640" w:firstLineChars="200"/>
        <w:textAlignment w:val="auto"/>
        <w:rPr>
          <w:rFonts w:hint="eastAsia" w:ascii="仿宋_GB2312" w:hAnsi="仿宋_GB2312" w:eastAsia="仿宋_GB2312"/>
          <w:sz w:val="32"/>
        </w:rPr>
      </w:pPr>
      <w:r>
        <w:rPr>
          <w:rFonts w:hint="eastAsia" w:ascii="仿宋_GB2312" w:hAnsi="仿宋_GB2312" w:eastAsia="仿宋_GB2312"/>
          <w:sz w:val="32"/>
        </w:rPr>
        <w:t>（五）在自有场所组织评审工作的，应当具备必要的评审场地和录音录像等监控设备设施并符合省级人民政府规定的标准。</w:t>
      </w:r>
    </w:p>
    <w:p w14:paraId="7EB97467">
      <w:pPr>
        <w:keepNext w:val="0"/>
        <w:keepLines w:val="0"/>
        <w:pageBreakBefore w:val="0"/>
        <w:kinsoku/>
        <w:wordWrap/>
        <w:overflowPunct w:val="0"/>
        <w:topLinePunct w:val="0"/>
        <w:autoSpaceDE/>
        <w:bidi w:val="0"/>
        <w:adjustRightInd/>
        <w:spacing w:line="560" w:lineRule="exact"/>
        <w:ind w:leftChars="0" w:right="0" w:firstLine="640" w:firstLineChars="200"/>
        <w:textAlignment w:val="auto"/>
        <w:rPr>
          <w:rFonts w:hint="eastAsia" w:ascii="仿宋_GB2312" w:hAnsi="仿宋_GB2312" w:eastAsia="仿宋_GB2312"/>
          <w:sz w:val="32"/>
        </w:rPr>
      </w:pPr>
      <w:r>
        <w:rPr>
          <w:rFonts w:hint="eastAsia" w:ascii="黑体" w:hAnsi="黑体" w:eastAsia="黑体"/>
          <w:sz w:val="32"/>
        </w:rPr>
        <w:t>第十</w:t>
      </w:r>
      <w:r>
        <w:rPr>
          <w:rFonts w:hint="eastAsia" w:ascii="黑体" w:hAnsi="黑体" w:eastAsia="黑体"/>
          <w:sz w:val="32"/>
          <w:lang w:eastAsia="zh-CN"/>
        </w:rPr>
        <w:t>四</w:t>
      </w:r>
      <w:r>
        <w:rPr>
          <w:rFonts w:hint="eastAsia" w:ascii="黑体" w:hAnsi="黑体" w:eastAsia="黑体"/>
          <w:sz w:val="32"/>
        </w:rPr>
        <w:t>条</w:t>
      </w:r>
      <w:r>
        <w:rPr>
          <w:rFonts w:hint="eastAsia" w:ascii="黑体" w:hAnsi="黑体" w:eastAsia="黑体"/>
          <w:sz w:val="32"/>
          <w:lang w:val="en-US" w:eastAsia="zh-CN"/>
        </w:rPr>
        <w:t xml:space="preserve">  </w:t>
      </w:r>
      <w:r>
        <w:rPr>
          <w:rFonts w:hint="eastAsia" w:ascii="仿宋_GB2312" w:hAnsi="仿宋_GB2312" w:eastAsia="仿宋_GB2312"/>
          <w:sz w:val="32"/>
        </w:rPr>
        <w:t>代理机构受采购人委托办理采购事宜，应当与采购人签订委托代理协议，明确采购代理权限、期限、档案保存、代理费用收取方式及标准、协议解除及终止、违约责任等具体事项，约定双方权利义务。</w:t>
      </w:r>
    </w:p>
    <w:p w14:paraId="42C923B9">
      <w:pPr>
        <w:keepNext w:val="0"/>
        <w:keepLines w:val="0"/>
        <w:pageBreakBefore w:val="0"/>
        <w:kinsoku/>
        <w:wordWrap/>
        <w:topLinePunct w:val="0"/>
        <w:autoSpaceDE/>
        <w:bidi w:val="0"/>
        <w:adjustRightInd/>
        <w:spacing w:line="560" w:lineRule="exact"/>
        <w:ind w:leftChars="0" w:firstLine="640" w:firstLineChars="200"/>
        <w:rPr>
          <w:rFonts w:hint="eastAsia" w:ascii="仿宋_GB2312" w:hAnsi="仿宋_GB2312" w:eastAsia="仿宋_GB2312"/>
          <w:sz w:val="32"/>
        </w:rPr>
      </w:pPr>
      <w:r>
        <w:rPr>
          <w:rFonts w:hint="eastAsia" w:ascii="黑体" w:hAnsi="黑体" w:eastAsia="黑体"/>
          <w:sz w:val="32"/>
        </w:rPr>
        <w:t>第十</w:t>
      </w:r>
      <w:r>
        <w:rPr>
          <w:rFonts w:hint="eastAsia" w:ascii="黑体" w:hAnsi="黑体" w:eastAsia="黑体"/>
          <w:sz w:val="32"/>
          <w:lang w:eastAsia="zh-CN"/>
        </w:rPr>
        <w:t>五</w:t>
      </w:r>
      <w:r>
        <w:rPr>
          <w:rFonts w:hint="eastAsia" w:ascii="黑体" w:hAnsi="黑体" w:eastAsia="黑体"/>
          <w:sz w:val="32"/>
        </w:rPr>
        <w:t>条</w:t>
      </w:r>
      <w:r>
        <w:rPr>
          <w:rFonts w:hint="eastAsia" w:ascii="黑体" w:hAnsi="黑体" w:eastAsia="黑体"/>
          <w:sz w:val="32"/>
          <w:lang w:val="en-US" w:eastAsia="zh-CN"/>
        </w:rPr>
        <w:t xml:space="preserve">  </w:t>
      </w:r>
      <w:r>
        <w:rPr>
          <w:rFonts w:hint="eastAsia" w:ascii="仿宋_GB2312" w:hAnsi="仿宋_GB2312" w:eastAsia="仿宋_GB2312"/>
          <w:sz w:val="32"/>
          <w:lang w:val="en-US" w:eastAsia="zh-CN"/>
        </w:rPr>
        <w:t>代理机构与采购人</w:t>
      </w:r>
      <w:r>
        <w:rPr>
          <w:rFonts w:hint="eastAsia" w:ascii="仿宋_GB2312" w:hAnsi="仿宋_GB2312" w:eastAsia="仿宋_GB2312"/>
          <w:sz w:val="32"/>
        </w:rPr>
        <w:t>应</w:t>
      </w:r>
      <w:r>
        <w:rPr>
          <w:rFonts w:ascii="仿宋_GB2312" w:eastAsia="仿宋_GB2312"/>
          <w:sz w:val="32"/>
          <w:szCs w:val="32"/>
        </w:rPr>
        <w:t>当在</w:t>
      </w:r>
      <w:r>
        <w:rPr>
          <w:rFonts w:hint="eastAsia" w:ascii="仿宋_GB2312" w:eastAsia="仿宋_GB2312"/>
          <w:sz w:val="32"/>
          <w:szCs w:val="32"/>
        </w:rPr>
        <w:t>委托代理协议</w:t>
      </w:r>
      <w:r>
        <w:rPr>
          <w:rFonts w:ascii="仿宋_GB2312" w:eastAsia="仿宋_GB2312"/>
          <w:sz w:val="32"/>
          <w:szCs w:val="32"/>
        </w:rPr>
        <w:t>中</w:t>
      </w:r>
      <w:r>
        <w:rPr>
          <w:rFonts w:hint="eastAsia" w:ascii="仿宋_GB2312" w:eastAsia="仿宋_GB2312"/>
          <w:sz w:val="32"/>
          <w:szCs w:val="32"/>
        </w:rPr>
        <w:t>明确采购代理机构</w:t>
      </w:r>
      <w:r>
        <w:rPr>
          <w:rFonts w:ascii="仿宋_GB2312" w:eastAsia="仿宋_GB2312"/>
          <w:sz w:val="32"/>
          <w:szCs w:val="32"/>
        </w:rPr>
        <w:t>答复</w:t>
      </w:r>
      <w:r>
        <w:rPr>
          <w:rFonts w:hint="eastAsia" w:ascii="仿宋_GB2312" w:eastAsia="仿宋_GB2312"/>
          <w:sz w:val="32"/>
          <w:szCs w:val="32"/>
        </w:rPr>
        <w:t>供应商质疑的范围、权限。代理机构应按《政府采购质疑和投诉办法》（财政部令第94号）第十五条的规定</w:t>
      </w:r>
      <w:r>
        <w:rPr>
          <w:rFonts w:ascii="仿宋_GB2312" w:eastAsia="仿宋_GB2312"/>
          <w:sz w:val="32"/>
          <w:szCs w:val="32"/>
        </w:rPr>
        <w:t>，</w:t>
      </w:r>
      <w:r>
        <w:rPr>
          <w:rFonts w:hint="eastAsia" w:ascii="仿宋_GB2312" w:eastAsia="仿宋_GB2312"/>
          <w:sz w:val="32"/>
          <w:szCs w:val="32"/>
        </w:rPr>
        <w:t>对</w:t>
      </w:r>
      <w:r>
        <w:rPr>
          <w:rFonts w:ascii="仿宋_GB2312" w:eastAsia="仿宋_GB2312"/>
          <w:sz w:val="32"/>
          <w:szCs w:val="32"/>
        </w:rPr>
        <w:t>供应商的</w:t>
      </w:r>
      <w:r>
        <w:rPr>
          <w:rFonts w:hint="eastAsia" w:ascii="仿宋_GB2312" w:eastAsia="仿宋_GB2312"/>
          <w:sz w:val="32"/>
          <w:szCs w:val="32"/>
        </w:rPr>
        <w:t>质疑事项逐一进行认真</w:t>
      </w:r>
      <w:r>
        <w:rPr>
          <w:rFonts w:ascii="仿宋_GB2312" w:eastAsia="仿宋_GB2312"/>
          <w:sz w:val="32"/>
          <w:szCs w:val="32"/>
        </w:rPr>
        <w:t>、详细</w:t>
      </w:r>
      <w:r>
        <w:rPr>
          <w:rFonts w:hint="eastAsia" w:ascii="仿宋_GB2312" w:eastAsia="仿宋_GB2312"/>
          <w:sz w:val="32"/>
          <w:szCs w:val="32"/>
        </w:rPr>
        <w:t>答复，答复</w:t>
      </w:r>
      <w:r>
        <w:rPr>
          <w:rFonts w:ascii="仿宋_GB2312" w:eastAsia="仿宋_GB2312"/>
          <w:sz w:val="32"/>
          <w:szCs w:val="32"/>
        </w:rPr>
        <w:t>时应向供应商</w:t>
      </w:r>
      <w:r>
        <w:rPr>
          <w:rFonts w:hint="eastAsia" w:ascii="仿宋_GB2312" w:eastAsia="仿宋_GB2312"/>
          <w:sz w:val="32"/>
          <w:szCs w:val="32"/>
        </w:rPr>
        <w:t>提供</w:t>
      </w:r>
      <w:r>
        <w:rPr>
          <w:rFonts w:ascii="仿宋_GB2312" w:eastAsia="仿宋_GB2312"/>
          <w:sz w:val="32"/>
          <w:szCs w:val="32"/>
        </w:rPr>
        <w:t>充分</w:t>
      </w:r>
      <w:r>
        <w:rPr>
          <w:rFonts w:hint="eastAsia" w:ascii="仿宋_GB2312" w:eastAsia="仿宋_GB2312"/>
          <w:sz w:val="32"/>
          <w:szCs w:val="32"/>
        </w:rPr>
        <w:t>、</w:t>
      </w:r>
      <w:r>
        <w:rPr>
          <w:rFonts w:ascii="仿宋_GB2312" w:eastAsia="仿宋_GB2312"/>
          <w:sz w:val="32"/>
          <w:szCs w:val="32"/>
        </w:rPr>
        <w:t>具体的依据，</w:t>
      </w:r>
      <w:r>
        <w:rPr>
          <w:rFonts w:hint="eastAsia" w:ascii="仿宋_GB2312" w:eastAsia="仿宋_GB2312"/>
          <w:sz w:val="32"/>
          <w:szCs w:val="32"/>
        </w:rPr>
        <w:t>不</w:t>
      </w:r>
      <w:r>
        <w:rPr>
          <w:rFonts w:ascii="仿宋_GB2312" w:eastAsia="仿宋_GB2312"/>
          <w:sz w:val="32"/>
          <w:szCs w:val="32"/>
        </w:rPr>
        <w:t>得</w:t>
      </w:r>
      <w:r>
        <w:rPr>
          <w:rFonts w:hint="eastAsia" w:ascii="仿宋_GB2312" w:eastAsia="仿宋_GB2312"/>
          <w:sz w:val="32"/>
          <w:szCs w:val="32"/>
        </w:rPr>
        <w:t>敷衍了事</w:t>
      </w:r>
      <w:r>
        <w:rPr>
          <w:rFonts w:ascii="仿宋_GB2312" w:eastAsia="仿宋_GB2312"/>
          <w:sz w:val="32"/>
          <w:szCs w:val="32"/>
        </w:rPr>
        <w:t>，</w:t>
      </w:r>
      <w:r>
        <w:rPr>
          <w:rFonts w:hint="eastAsia" w:ascii="仿宋_GB2312" w:eastAsia="仿宋_GB2312"/>
          <w:sz w:val="32"/>
          <w:szCs w:val="32"/>
        </w:rPr>
        <w:t>涉及</w:t>
      </w:r>
      <w:r>
        <w:rPr>
          <w:rFonts w:ascii="仿宋_GB2312" w:eastAsia="仿宋_GB2312"/>
          <w:sz w:val="32"/>
          <w:szCs w:val="32"/>
        </w:rPr>
        <w:t>评标委员会的事项，</w:t>
      </w:r>
      <w:r>
        <w:rPr>
          <w:rFonts w:hint="eastAsia" w:ascii="仿宋_GB2312" w:eastAsia="仿宋_GB2312"/>
          <w:sz w:val="32"/>
          <w:szCs w:val="32"/>
        </w:rPr>
        <w:t>组织评标委员会协助答复质疑</w:t>
      </w:r>
      <w:r>
        <w:rPr>
          <w:rFonts w:ascii="仿宋_GB2312" w:eastAsia="仿宋_GB2312"/>
          <w:sz w:val="32"/>
          <w:szCs w:val="32"/>
        </w:rPr>
        <w:t>。</w:t>
      </w:r>
    </w:p>
    <w:p w14:paraId="4707435E">
      <w:pPr>
        <w:keepNext w:val="0"/>
        <w:keepLines w:val="0"/>
        <w:pageBreakBefore w:val="0"/>
        <w:kinsoku/>
        <w:wordWrap/>
        <w:overflowPunct w:val="0"/>
        <w:topLinePunct w:val="0"/>
        <w:autoSpaceDE/>
        <w:bidi w:val="0"/>
        <w:adjustRightInd/>
        <w:spacing w:line="560" w:lineRule="exact"/>
        <w:ind w:left="0" w:leftChars="0" w:right="0" w:firstLine="640" w:firstLineChars="200"/>
        <w:textAlignment w:val="auto"/>
        <w:rPr>
          <w:rFonts w:hint="eastAsia" w:ascii="仿宋_GB2312" w:hAnsi="仿宋_GB2312" w:eastAsia="仿宋_GB2312"/>
          <w:sz w:val="32"/>
        </w:rPr>
      </w:pPr>
      <w:r>
        <w:rPr>
          <w:rFonts w:hint="eastAsia" w:ascii="黑体" w:hAnsi="黑体" w:eastAsia="黑体"/>
          <w:sz w:val="32"/>
        </w:rPr>
        <w:t>第十</w:t>
      </w:r>
      <w:r>
        <w:rPr>
          <w:rFonts w:hint="eastAsia" w:ascii="黑体" w:hAnsi="黑体" w:eastAsia="黑体"/>
          <w:sz w:val="32"/>
          <w:lang w:eastAsia="zh-CN"/>
        </w:rPr>
        <w:t>六</w:t>
      </w:r>
      <w:r>
        <w:rPr>
          <w:rFonts w:hint="eastAsia" w:ascii="黑体" w:hAnsi="黑体" w:eastAsia="黑体"/>
          <w:sz w:val="32"/>
        </w:rPr>
        <w:t xml:space="preserve">条  </w:t>
      </w:r>
      <w:r>
        <w:rPr>
          <w:rFonts w:hint="eastAsia" w:ascii="仿宋_GB2312" w:hAnsi="仿宋_GB2312" w:eastAsia="仿宋_GB2312"/>
          <w:sz w:val="32"/>
        </w:rPr>
        <w:t>代理机构应当严格按照委托代理协议的约定依法依规开展政府采购代理业务，相关开标及评审活动应当全程录音录像，录音录像应当清晰可辨，音像资料按照档案管理要求妥善保存。</w:t>
      </w:r>
    </w:p>
    <w:p w14:paraId="5CBBA169">
      <w:pPr>
        <w:keepNext w:val="0"/>
        <w:keepLines w:val="0"/>
        <w:pageBreakBefore w:val="0"/>
        <w:kinsoku/>
        <w:wordWrap/>
        <w:overflowPunct w:val="0"/>
        <w:topLinePunct w:val="0"/>
        <w:autoSpaceDE/>
        <w:bidi w:val="0"/>
        <w:adjustRightInd/>
        <w:spacing w:line="560" w:lineRule="exact"/>
        <w:ind w:left="0" w:leftChars="0" w:right="0" w:firstLine="640" w:firstLineChars="200"/>
        <w:textAlignment w:val="auto"/>
        <w:rPr>
          <w:rFonts w:hint="eastAsia" w:ascii="仿宋_GB2312" w:hAnsi="仿宋_GB2312" w:eastAsia="仿宋_GB2312"/>
          <w:sz w:val="32"/>
        </w:rPr>
      </w:pPr>
      <w:r>
        <w:rPr>
          <w:rFonts w:hint="eastAsia" w:ascii="黑体" w:hAnsi="黑体" w:eastAsia="黑体"/>
          <w:sz w:val="32"/>
        </w:rPr>
        <w:t>第十</w:t>
      </w:r>
      <w:r>
        <w:rPr>
          <w:rFonts w:hint="eastAsia" w:ascii="黑体" w:hAnsi="黑体" w:eastAsia="黑体"/>
          <w:sz w:val="32"/>
          <w:lang w:eastAsia="zh-CN"/>
        </w:rPr>
        <w:t>七</w:t>
      </w:r>
      <w:r>
        <w:rPr>
          <w:rFonts w:hint="eastAsia" w:ascii="黑体" w:hAnsi="黑体" w:eastAsia="黑体"/>
          <w:sz w:val="32"/>
        </w:rPr>
        <w:t xml:space="preserve">条 </w:t>
      </w:r>
      <w:r>
        <w:rPr>
          <w:rFonts w:hint="eastAsia" w:ascii="黑体" w:hAnsi="黑体" w:eastAsia="黑体"/>
          <w:sz w:val="32"/>
          <w:lang w:val="en-US" w:eastAsia="zh-CN"/>
        </w:rPr>
        <w:t xml:space="preserve"> </w:t>
      </w:r>
      <w:r>
        <w:rPr>
          <w:rFonts w:hint="eastAsia" w:ascii="仿宋_GB2312" w:hAnsi="仿宋_GB2312" w:eastAsia="仿宋_GB2312"/>
          <w:sz w:val="32"/>
        </w:rPr>
        <w:t>代理费用可以由中标、成交供应商支付，也可由采购人支付。由中标、成交供应商支付的，供应商报价应当包含代理费用。代理费用超过分散采购限额标准的，原则上由中标、成交供应商支付。</w:t>
      </w:r>
      <w:r>
        <w:rPr>
          <w:rFonts w:hint="eastAsia" w:ascii="仿宋_GB2312" w:eastAsia="仿宋_GB2312"/>
          <w:sz w:val="32"/>
          <w:szCs w:val="32"/>
        </w:rPr>
        <w:t>代理服务费应结合行业规定、项目特点、市场行情等因素合理协商确定，降低供应商交易成本，优化政府采购营商环境。</w:t>
      </w:r>
    </w:p>
    <w:p w14:paraId="4630096A">
      <w:pPr>
        <w:keepNext w:val="0"/>
        <w:keepLines w:val="0"/>
        <w:pageBreakBefore w:val="0"/>
        <w:kinsoku/>
        <w:wordWrap/>
        <w:overflowPunct w:val="0"/>
        <w:topLinePunct w:val="0"/>
        <w:autoSpaceDE/>
        <w:bidi w:val="0"/>
        <w:adjustRightInd/>
        <w:spacing w:line="560" w:lineRule="exact"/>
        <w:ind w:left="0" w:leftChars="0" w:right="0" w:firstLine="640" w:firstLineChars="200"/>
        <w:textAlignment w:val="auto"/>
        <w:rPr>
          <w:rFonts w:hint="eastAsia" w:ascii="仿宋_GB2312" w:hAnsi="仿宋_GB2312" w:eastAsia="仿宋_GB2312"/>
          <w:sz w:val="32"/>
        </w:rPr>
      </w:pPr>
      <w:r>
        <w:rPr>
          <w:rFonts w:hint="eastAsia" w:ascii="仿宋_GB2312" w:hAnsi="仿宋_GB2312" w:eastAsia="仿宋_GB2312"/>
          <w:sz w:val="32"/>
        </w:rPr>
        <w:t>代理机构应当在采购文件中明示代理费用收取方式及标准，随中标、成交结果一并公开本项目收费情况，包括具体收费标准及收费金额等。</w:t>
      </w:r>
    </w:p>
    <w:p w14:paraId="5F337B18">
      <w:pPr>
        <w:keepNext w:val="0"/>
        <w:keepLines w:val="0"/>
        <w:pageBreakBefore w:val="0"/>
        <w:kinsoku/>
        <w:wordWrap/>
        <w:topLinePunct w:val="0"/>
        <w:autoSpaceDE/>
        <w:bidi w:val="0"/>
        <w:adjustRightInd/>
        <w:spacing w:line="560" w:lineRule="exact"/>
        <w:ind w:leftChars="0" w:firstLine="640" w:firstLineChars="200"/>
        <w:rPr>
          <w:rFonts w:ascii="仿宋_GB2312" w:eastAsia="仿宋_GB2312"/>
          <w:sz w:val="32"/>
          <w:szCs w:val="32"/>
        </w:rPr>
      </w:pPr>
      <w:r>
        <w:rPr>
          <w:rFonts w:hint="eastAsia" w:ascii="黑体" w:hAnsi="黑体" w:eastAsia="黑体"/>
          <w:sz w:val="32"/>
          <w:lang w:eastAsia="zh-CN"/>
        </w:rPr>
        <w:t>第十八条</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采购人和代理机构在委托代理协议中约定由代理机构负责保存采购文件的，代理机构应当妥善保存采购文件，不得伪造、变造、隐匿或者销毁采购文件。采购文件的保存期限为从采购结束之日起至少十五年</w:t>
      </w:r>
      <w:r>
        <w:rPr>
          <w:rFonts w:hint="eastAsia" w:ascii="仿宋_GB2312" w:hAnsi="仿宋_GB2312" w:eastAsia="仿宋_GB2312"/>
          <w:sz w:val="32"/>
          <w:lang w:eastAsia="zh-CN"/>
        </w:rPr>
        <w:t>，</w:t>
      </w:r>
      <w:r>
        <w:rPr>
          <w:rFonts w:hint="eastAsia" w:ascii="仿宋_GB2312" w:eastAsia="仿宋_GB2312"/>
          <w:sz w:val="32"/>
          <w:szCs w:val="32"/>
        </w:rPr>
        <w:t>由专人负责管理</w:t>
      </w:r>
      <w:r>
        <w:rPr>
          <w:rFonts w:ascii="仿宋_GB2312" w:eastAsia="仿宋_GB2312"/>
          <w:sz w:val="32"/>
          <w:szCs w:val="32"/>
        </w:rPr>
        <w:t>，</w:t>
      </w:r>
      <w:r>
        <w:rPr>
          <w:rFonts w:hint="eastAsia" w:ascii="仿宋_GB2312" w:eastAsia="仿宋_GB2312"/>
          <w:sz w:val="32"/>
          <w:szCs w:val="32"/>
        </w:rPr>
        <w:t>在安全场所存放</w:t>
      </w:r>
      <w:r>
        <w:rPr>
          <w:rFonts w:hint="eastAsia" w:ascii="仿宋_GB2312" w:eastAsia="仿宋_GB2312"/>
          <w:sz w:val="32"/>
          <w:szCs w:val="32"/>
          <w:lang w:eastAsia="zh-CN"/>
        </w:rPr>
        <w:t>，</w:t>
      </w:r>
      <w:r>
        <w:rPr>
          <w:rFonts w:ascii="仿宋_GB2312" w:eastAsia="仿宋_GB2312"/>
          <w:sz w:val="32"/>
          <w:szCs w:val="32"/>
        </w:rPr>
        <w:t>必要时</w:t>
      </w:r>
      <w:r>
        <w:rPr>
          <w:rFonts w:hint="eastAsia" w:ascii="仿宋_GB2312" w:eastAsia="仿宋_GB2312"/>
          <w:sz w:val="32"/>
          <w:szCs w:val="32"/>
        </w:rPr>
        <w:t>定期对档案进行清点和检查，确保档案的完整性和有效性。</w:t>
      </w:r>
    </w:p>
    <w:p w14:paraId="70D00451">
      <w:pPr>
        <w:keepNext w:val="0"/>
        <w:keepLines w:val="0"/>
        <w:pageBreakBefore w:val="0"/>
        <w:kinsoku/>
        <w:wordWrap/>
        <w:overflowPunct w:val="0"/>
        <w:topLinePunct w:val="0"/>
        <w:autoSpaceDE/>
        <w:bidi w:val="0"/>
        <w:adjustRightInd/>
        <w:spacing w:line="560" w:lineRule="exact"/>
        <w:ind w:leftChars="0" w:right="0" w:firstLine="640" w:firstLineChars="200"/>
        <w:textAlignment w:val="auto"/>
        <w:rPr>
          <w:rFonts w:hint="eastAsia" w:ascii="仿宋_GB2312" w:hAnsi="仿宋_GB2312" w:eastAsia="仿宋_GB2312"/>
          <w:sz w:val="32"/>
        </w:rPr>
      </w:pPr>
      <w:r>
        <w:rPr>
          <w:rFonts w:hint="eastAsia" w:ascii="仿宋_GB2312" w:hAnsi="仿宋_GB2312" w:eastAsia="仿宋_GB2312"/>
          <w:sz w:val="32"/>
        </w:rPr>
        <w:t>采用电子档案方式保存采购文件的，相关电子档案应当符合《中华人民共和国档案法》《中华人民共和国电子签名法》等法律法规的要求。</w:t>
      </w:r>
    </w:p>
    <w:p w14:paraId="3B2344C8">
      <w:pPr>
        <w:keepNext w:val="0"/>
        <w:keepLines w:val="0"/>
        <w:pageBreakBefore w:val="0"/>
        <w:numPr>
          <w:ilvl w:val="0"/>
          <w:numId w:val="0"/>
        </w:numPr>
        <w:kinsoku/>
        <w:wordWrap/>
        <w:overflowPunct w:val="0"/>
        <w:topLinePunct w:val="0"/>
        <w:autoSpaceDE/>
        <w:bidi w:val="0"/>
        <w:adjustRightInd/>
        <w:spacing w:line="560" w:lineRule="exact"/>
        <w:ind w:leftChars="0" w:right="0" w:rightChars="0" w:firstLine="640" w:firstLineChars="200"/>
        <w:textAlignment w:val="auto"/>
        <w:rPr>
          <w:rFonts w:hint="eastAsia" w:ascii="仿宋_GB2312" w:hAnsi="仿宋_GB2312" w:eastAsia="仿宋_GB2312"/>
          <w:sz w:val="32"/>
          <w:lang w:val="en-US" w:eastAsia="zh-CN"/>
        </w:rPr>
      </w:pPr>
      <w:r>
        <w:rPr>
          <w:rFonts w:hint="eastAsia" w:ascii="黑体" w:hAnsi="黑体" w:eastAsia="黑体" w:cs="黑体"/>
          <w:sz w:val="32"/>
          <w:lang w:val="en-US" w:eastAsia="zh-CN"/>
        </w:rPr>
        <w:t>第十九条</w:t>
      </w:r>
      <w:r>
        <w:rPr>
          <w:rFonts w:hint="eastAsia" w:ascii="仿宋_GB2312" w:hAnsi="仿宋_GB2312" w:eastAsia="仿宋_GB2312"/>
          <w:sz w:val="32"/>
          <w:lang w:val="en-US" w:eastAsia="zh-CN"/>
        </w:rPr>
        <w:t xml:space="preserve">  代理机构应当</w:t>
      </w:r>
      <w:r>
        <w:rPr>
          <w:rFonts w:hint="eastAsia" w:ascii="仿宋_GB2312" w:eastAsia="仿宋_GB2312"/>
          <w:sz w:val="32"/>
          <w:szCs w:val="32"/>
        </w:rPr>
        <w:t>配合财政部门处理投诉及</w:t>
      </w:r>
      <w:r>
        <w:rPr>
          <w:rFonts w:ascii="仿宋_GB2312" w:eastAsia="仿宋_GB2312"/>
          <w:sz w:val="32"/>
          <w:szCs w:val="32"/>
        </w:rPr>
        <w:t>依法实施的监督检查</w:t>
      </w:r>
      <w:r>
        <w:rPr>
          <w:rFonts w:hint="eastAsia" w:ascii="仿宋_GB2312" w:eastAsia="仿宋_GB2312"/>
          <w:sz w:val="32"/>
          <w:szCs w:val="32"/>
        </w:rPr>
        <w:t>。财政部门依法进行调查取证时，采购代理机构应当如实反映情况，并提供财政部门需要的相关材料。</w:t>
      </w:r>
    </w:p>
    <w:p w14:paraId="1B666EC4">
      <w:pPr>
        <w:keepNext w:val="0"/>
        <w:keepLines w:val="0"/>
        <w:pageBreakBefore w:val="0"/>
        <w:kinsoku/>
        <w:wordWrap/>
        <w:topLinePunct w:val="0"/>
        <w:autoSpaceDE/>
        <w:bidi w:val="0"/>
        <w:adjustRightInd/>
        <w:spacing w:line="560" w:lineRule="exact"/>
        <w:ind w:leftChars="0" w:firstLine="640" w:firstLineChars="200"/>
        <w:rPr>
          <w:rFonts w:ascii="仿宋_GB2312" w:eastAsia="仿宋_GB2312"/>
          <w:sz w:val="32"/>
          <w:szCs w:val="32"/>
        </w:rPr>
      </w:pPr>
      <w:r>
        <w:rPr>
          <w:rFonts w:hint="eastAsia" w:ascii="黑体" w:hAnsi="黑体" w:eastAsia="黑体" w:cs="黑体"/>
          <w:sz w:val="32"/>
          <w:szCs w:val="32"/>
          <w:lang w:eastAsia="zh-CN"/>
        </w:rPr>
        <w:t>第二十条</w:t>
      </w:r>
      <w:r>
        <w:rPr>
          <w:rFonts w:hint="eastAsia" w:ascii="仿宋_GB2312" w:eastAsia="仿宋_GB2312"/>
          <w:sz w:val="32"/>
          <w:szCs w:val="32"/>
          <w:lang w:val="en-US" w:eastAsia="zh-CN"/>
        </w:rPr>
        <w:t xml:space="preserve">  </w:t>
      </w:r>
      <w:r>
        <w:rPr>
          <w:rFonts w:hint="eastAsia" w:ascii="仿宋_GB2312" w:eastAsia="仿宋_GB2312"/>
          <w:sz w:val="32"/>
          <w:szCs w:val="32"/>
        </w:rPr>
        <w:t>代理机构应当对在从事政府采购代理业务、质疑答复和配合财政部门处理投诉及依法实施的监督检查过程中知悉的国家秘密、商业秘密、个人隐私和依法不予公开的信息进行保密。</w:t>
      </w:r>
    </w:p>
    <w:p w14:paraId="6927B768">
      <w:pPr>
        <w:keepNext w:val="0"/>
        <w:keepLines w:val="0"/>
        <w:pageBreakBefore w:val="0"/>
        <w:kinsoku/>
        <w:wordWrap/>
        <w:topLinePunct w:val="0"/>
        <w:autoSpaceDE/>
        <w:bidi w:val="0"/>
        <w:adjustRightInd/>
        <w:spacing w:line="560" w:lineRule="exact"/>
        <w:ind w:leftChars="0" w:firstLine="640" w:firstLineChars="200"/>
        <w:rPr>
          <w:rFonts w:hint="eastAsia" w:ascii="黑体" w:hAnsi="黑体" w:eastAsia="黑体"/>
          <w:sz w:val="32"/>
        </w:rPr>
      </w:pPr>
      <w:r>
        <w:rPr>
          <w:rFonts w:hint="eastAsia" w:ascii="黑体" w:hAnsi="黑体" w:eastAsia="黑体" w:cs="黑体"/>
          <w:sz w:val="32"/>
          <w:szCs w:val="32"/>
        </w:rPr>
        <w:t>第</w:t>
      </w:r>
      <w:r>
        <w:rPr>
          <w:rFonts w:hint="eastAsia" w:ascii="黑体" w:hAnsi="黑体" w:eastAsia="黑体" w:cs="黑体"/>
          <w:sz w:val="32"/>
          <w:szCs w:val="32"/>
          <w:lang w:eastAsia="zh-CN"/>
        </w:rPr>
        <w:t>二十一</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eastAsia="仿宋_GB2312"/>
          <w:sz w:val="32"/>
          <w:szCs w:val="32"/>
        </w:rPr>
        <w:t>代理机构应当加强对专职从业人员政府采购法律法规政策、业务能力、职业道德等方面的教育培训，</w:t>
      </w:r>
      <w:r>
        <w:rPr>
          <w:rFonts w:hint="eastAsia" w:ascii="仿宋_GB2312" w:eastAsia="仿宋_GB2312"/>
          <w:sz w:val="32"/>
          <w:szCs w:val="32"/>
          <w:lang w:eastAsia="zh-CN"/>
        </w:rPr>
        <w:t>积极</w:t>
      </w:r>
      <w:r>
        <w:rPr>
          <w:rFonts w:hint="eastAsia" w:ascii="仿宋_GB2312" w:eastAsia="仿宋_GB2312"/>
          <w:sz w:val="32"/>
          <w:szCs w:val="32"/>
        </w:rPr>
        <w:t>参加财政</w:t>
      </w:r>
      <w:r>
        <w:rPr>
          <w:rFonts w:hint="eastAsia" w:ascii="仿宋_GB2312" w:eastAsia="仿宋_GB2312"/>
          <w:sz w:val="32"/>
          <w:szCs w:val="32"/>
          <w:lang w:eastAsia="zh-CN"/>
        </w:rPr>
        <w:t>等部门组织</w:t>
      </w:r>
      <w:r>
        <w:rPr>
          <w:rFonts w:hint="eastAsia" w:ascii="仿宋_GB2312" w:eastAsia="仿宋_GB2312"/>
          <w:sz w:val="32"/>
          <w:szCs w:val="32"/>
        </w:rPr>
        <w:t>的培训</w:t>
      </w:r>
      <w:r>
        <w:rPr>
          <w:rFonts w:hint="eastAsia" w:ascii="仿宋_GB2312" w:eastAsia="仿宋_GB2312"/>
          <w:sz w:val="32"/>
          <w:szCs w:val="32"/>
          <w:lang w:eastAsia="zh-CN"/>
        </w:rPr>
        <w:t>学习，提升综合素养</w:t>
      </w:r>
      <w:r>
        <w:rPr>
          <w:rFonts w:hint="eastAsia" w:ascii="仿宋_GB2312" w:eastAsia="仿宋_GB2312"/>
          <w:sz w:val="32"/>
          <w:szCs w:val="32"/>
        </w:rPr>
        <w:t>。</w:t>
      </w:r>
    </w:p>
    <w:p w14:paraId="43143B8F">
      <w:pPr>
        <w:keepNext w:val="0"/>
        <w:keepLines w:val="0"/>
        <w:pageBreakBefore w:val="0"/>
        <w:numPr>
          <w:ilvl w:val="0"/>
          <w:numId w:val="0"/>
        </w:numPr>
        <w:kinsoku/>
        <w:wordWrap/>
        <w:overflowPunct w:val="0"/>
        <w:topLinePunct w:val="0"/>
        <w:autoSpaceDE/>
        <w:bidi w:val="0"/>
        <w:adjustRightInd/>
        <w:spacing w:line="560" w:lineRule="exact"/>
        <w:ind w:leftChars="500" w:right="0" w:rightChars="0" w:firstLine="1280" w:firstLineChars="400"/>
        <w:jc w:val="both"/>
        <w:textAlignment w:val="auto"/>
        <w:rPr>
          <w:rFonts w:hint="default" w:ascii="黑体" w:hAnsi="黑体" w:eastAsia="黑体"/>
          <w:sz w:val="32"/>
          <w:lang w:val="en" w:eastAsia="zh-CN"/>
        </w:rPr>
      </w:pPr>
      <w:r>
        <w:rPr>
          <w:rFonts w:hint="eastAsia" w:ascii="黑体" w:hAnsi="黑体" w:eastAsia="黑体"/>
          <w:sz w:val="32"/>
          <w:lang w:val="en-US" w:eastAsia="zh-CN"/>
        </w:rPr>
        <w:t xml:space="preserve">第四章 </w:t>
      </w:r>
      <w:r>
        <w:rPr>
          <w:rFonts w:hint="eastAsia" w:ascii="黑体" w:hAnsi="黑体" w:eastAsia="黑体"/>
          <w:sz w:val="32"/>
        </w:rPr>
        <w:t xml:space="preserve"> </w:t>
      </w:r>
      <w:r>
        <w:rPr>
          <w:rFonts w:hint="eastAsia" w:ascii="黑体" w:hAnsi="黑体" w:eastAsia="黑体"/>
          <w:sz w:val="32"/>
          <w:lang w:val="en-US" w:eastAsia="zh-CN"/>
        </w:rPr>
        <w:t xml:space="preserve"> </w:t>
      </w:r>
      <w:r>
        <w:rPr>
          <w:rFonts w:hint="eastAsia" w:ascii="黑体" w:hAnsi="黑体" w:eastAsia="黑体"/>
          <w:sz w:val="32"/>
          <w:lang w:eastAsia="zh-CN"/>
        </w:rPr>
        <w:t>代理机构记分管理</w:t>
      </w:r>
    </w:p>
    <w:p w14:paraId="02BE9A18">
      <w:pPr>
        <w:keepNext w:val="0"/>
        <w:keepLines w:val="0"/>
        <w:pageBreakBefore w:val="0"/>
        <w:kinsoku/>
        <w:wordWrap/>
        <w:overflowPunct w:val="0"/>
        <w:topLinePunct w:val="0"/>
        <w:autoSpaceDE/>
        <w:bidi w:val="0"/>
        <w:adjustRightInd/>
        <w:spacing w:line="560" w:lineRule="exact"/>
        <w:ind w:leftChars="0" w:right="0" w:firstLine="640" w:firstLineChars="200"/>
        <w:textAlignment w:val="auto"/>
        <w:rPr>
          <w:rFonts w:hint="eastAsia" w:ascii="仿宋_GB2312" w:hAnsi="仿宋_GB2312" w:eastAsia="仿宋_GB2312"/>
          <w:sz w:val="32"/>
        </w:rPr>
      </w:pPr>
      <w:r>
        <w:rPr>
          <w:rFonts w:hint="eastAsia" w:ascii="黑体" w:hAnsi="黑体" w:eastAsia="黑体"/>
          <w:sz w:val="32"/>
        </w:rPr>
        <w:t>第</w:t>
      </w:r>
      <w:r>
        <w:rPr>
          <w:rFonts w:hint="eastAsia" w:ascii="黑体" w:hAnsi="黑体" w:eastAsia="黑体"/>
          <w:sz w:val="32"/>
          <w:lang w:eastAsia="zh-CN"/>
        </w:rPr>
        <w:t>二十二</w:t>
      </w:r>
      <w:r>
        <w:rPr>
          <w:rFonts w:hint="eastAsia" w:ascii="黑体" w:hAnsi="黑体" w:eastAsia="黑体"/>
          <w:sz w:val="32"/>
        </w:rPr>
        <w:t xml:space="preserve">条 </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我省对代理机构管理实行记分管理。</w:t>
      </w:r>
      <w:r>
        <w:rPr>
          <w:rFonts w:hint="eastAsia" w:ascii="仿宋_GB2312" w:hAnsi="仿宋_GB2312" w:eastAsia="仿宋_GB2312"/>
          <w:sz w:val="32"/>
        </w:rPr>
        <w:t>记分是对代理机构内部管理、业务操作等情况进行量化管理的措施。</w:t>
      </w:r>
    </w:p>
    <w:p w14:paraId="1CD66702">
      <w:pPr>
        <w:keepNext w:val="0"/>
        <w:keepLines w:val="0"/>
        <w:pageBreakBefore w:val="0"/>
        <w:numPr>
          <w:ilvl w:val="0"/>
          <w:numId w:val="0"/>
        </w:numPr>
        <w:kinsoku/>
        <w:wordWrap/>
        <w:overflowPunct w:val="0"/>
        <w:topLinePunct w:val="0"/>
        <w:autoSpaceDE/>
        <w:bidi w:val="0"/>
        <w:adjustRightInd/>
        <w:spacing w:line="560" w:lineRule="exact"/>
        <w:ind w:leftChars="0" w:right="0" w:rightChars="0" w:firstLine="640" w:firstLineChars="200"/>
        <w:jc w:val="left"/>
        <w:textAlignment w:val="auto"/>
        <w:rPr>
          <w:rFonts w:hint="eastAsia" w:ascii="仿宋_GB2312" w:hAnsi="仿宋_GB2312" w:eastAsia="仿宋_GB2312"/>
          <w:sz w:val="32"/>
          <w:lang w:eastAsia="zh-CN"/>
        </w:rPr>
      </w:pPr>
      <w:r>
        <w:rPr>
          <w:rFonts w:hint="eastAsia" w:ascii="黑体" w:hAnsi="黑体" w:eastAsia="黑体"/>
          <w:sz w:val="32"/>
          <w:lang w:eastAsia="zh-CN"/>
        </w:rPr>
        <w:t>第二十三条</w:t>
      </w:r>
      <w:r>
        <w:rPr>
          <w:rFonts w:hint="eastAsia" w:ascii="黑体" w:hAnsi="黑体" w:eastAsia="黑体"/>
          <w:sz w:val="32"/>
          <w:lang w:val="en-US" w:eastAsia="zh-CN"/>
        </w:rPr>
        <w:t xml:space="preserve">  </w:t>
      </w:r>
      <w:r>
        <w:rPr>
          <w:rFonts w:hint="eastAsia" w:ascii="仿宋_GB2312" w:hAnsi="仿宋_GB2312" w:eastAsia="仿宋_GB2312"/>
          <w:sz w:val="32"/>
          <w:lang w:eastAsia="zh-CN"/>
        </w:rPr>
        <w:t>县级以上人民政府财政部门依据本办法负责</w:t>
      </w:r>
      <w:r>
        <w:rPr>
          <w:rFonts w:hint="eastAsia" w:ascii="仿宋_GB2312" w:hAnsi="仿宋_GB2312" w:eastAsia="仿宋_GB2312"/>
          <w:sz w:val="32"/>
        </w:rPr>
        <w:t>代理本级政府采购项目的</w:t>
      </w:r>
      <w:r>
        <w:rPr>
          <w:rFonts w:hint="eastAsia" w:ascii="仿宋_GB2312" w:hAnsi="仿宋_GB2312" w:eastAsia="仿宋_GB2312"/>
          <w:sz w:val="32"/>
          <w:lang w:eastAsia="zh-CN"/>
        </w:rPr>
        <w:t>记分管理。管理依据为《青海省政府采购代理机构记分管理规则》</w:t>
      </w:r>
      <w:r>
        <w:rPr>
          <w:rFonts w:hint="eastAsia" w:ascii="楷体_GB2312" w:hAnsi="楷体_GB2312" w:eastAsia="楷体_GB2312" w:cs="楷体_GB2312"/>
          <w:b w:val="0"/>
          <w:bCs w:val="0"/>
          <w:sz w:val="32"/>
          <w:lang w:eastAsia="zh-CN"/>
        </w:rPr>
        <w:t>（详见附件</w:t>
      </w:r>
      <w:r>
        <w:rPr>
          <w:rFonts w:hint="eastAsia" w:ascii="楷体_GB2312" w:hAnsi="楷体_GB2312" w:eastAsia="楷体_GB2312" w:cs="楷体_GB2312"/>
          <w:b w:val="0"/>
          <w:bCs w:val="0"/>
          <w:sz w:val="32"/>
          <w:lang w:val="en-US" w:eastAsia="zh-CN"/>
        </w:rPr>
        <w:t>2</w:t>
      </w:r>
      <w:r>
        <w:rPr>
          <w:rFonts w:hint="eastAsia" w:ascii="楷体_GB2312" w:hAnsi="楷体_GB2312" w:eastAsia="楷体_GB2312" w:cs="楷体_GB2312"/>
          <w:b w:val="0"/>
          <w:bCs w:val="0"/>
          <w:sz w:val="32"/>
          <w:lang w:eastAsia="zh-CN"/>
        </w:rPr>
        <w:t>）</w:t>
      </w:r>
      <w:r>
        <w:rPr>
          <w:rFonts w:hint="eastAsia" w:ascii="仿宋_GB2312" w:hAnsi="仿宋_GB2312" w:eastAsia="仿宋_GB2312"/>
          <w:sz w:val="32"/>
          <w:lang w:eastAsia="zh-CN"/>
        </w:rPr>
        <w:t>（以下称《记分规则》）。记分管理应坚持客观公正、实事求是、廉洁奉公原则。</w:t>
      </w:r>
    </w:p>
    <w:p w14:paraId="37E43ECF">
      <w:pPr>
        <w:keepNext w:val="0"/>
        <w:keepLines w:val="0"/>
        <w:pageBreakBefore w:val="0"/>
        <w:numPr>
          <w:ilvl w:val="0"/>
          <w:numId w:val="0"/>
        </w:numPr>
        <w:kinsoku/>
        <w:wordWrap/>
        <w:overflowPunct w:val="0"/>
        <w:topLinePunct w:val="0"/>
        <w:autoSpaceDE/>
        <w:bidi w:val="0"/>
        <w:adjustRightInd/>
        <w:spacing w:line="560" w:lineRule="exact"/>
        <w:ind w:leftChars="0" w:right="0" w:rightChars="0" w:firstLine="640" w:firstLineChars="200"/>
        <w:jc w:val="left"/>
        <w:textAlignment w:val="auto"/>
        <w:rPr>
          <w:rFonts w:hint="eastAsia" w:ascii="仿宋_GB2312" w:hAnsi="仿宋_GB2312" w:eastAsia="仿宋_GB2312"/>
          <w:sz w:val="32"/>
          <w:lang w:eastAsia="zh-CN"/>
        </w:rPr>
      </w:pPr>
      <w:r>
        <w:rPr>
          <w:rFonts w:hint="eastAsia" w:ascii="仿宋_GB2312" w:hAnsi="仿宋_GB2312" w:eastAsia="仿宋_GB2312"/>
          <w:sz w:val="32"/>
          <w:lang w:eastAsia="zh-CN"/>
        </w:rPr>
        <w:t>省级财政部门依工作实际适时对</w:t>
      </w:r>
      <w:bookmarkStart w:id="0" w:name="OLE_LINK1"/>
      <w:r>
        <w:rPr>
          <w:rFonts w:hint="eastAsia" w:ascii="仿宋_GB2312" w:hAnsi="仿宋_GB2312" w:eastAsia="仿宋_GB2312"/>
          <w:sz w:val="32"/>
          <w:lang w:eastAsia="zh-CN"/>
        </w:rPr>
        <w:t>《记分规则》</w:t>
      </w:r>
      <w:bookmarkEnd w:id="0"/>
      <w:r>
        <w:rPr>
          <w:rFonts w:hint="eastAsia" w:ascii="仿宋_GB2312" w:hAnsi="仿宋_GB2312" w:eastAsia="仿宋_GB2312"/>
          <w:sz w:val="32"/>
          <w:lang w:eastAsia="zh-CN"/>
        </w:rPr>
        <w:t>进行评估和调整。</w:t>
      </w:r>
    </w:p>
    <w:p w14:paraId="5591C604">
      <w:pPr>
        <w:keepNext w:val="0"/>
        <w:keepLines w:val="0"/>
        <w:pageBreakBefore w:val="0"/>
        <w:numPr>
          <w:ilvl w:val="0"/>
          <w:numId w:val="0"/>
        </w:numPr>
        <w:kinsoku/>
        <w:wordWrap/>
        <w:overflowPunct w:val="0"/>
        <w:topLinePunct w:val="0"/>
        <w:autoSpaceDE/>
        <w:bidi w:val="0"/>
        <w:adjustRightInd/>
        <w:spacing w:line="540" w:lineRule="exact"/>
        <w:ind w:right="0" w:rightChars="0" w:firstLine="640" w:firstLineChars="200"/>
        <w:textAlignment w:val="auto"/>
        <w:rPr>
          <w:rFonts w:hint="eastAsia" w:ascii="仿宋_GB2312" w:hAnsi="仿宋_GB2312" w:eastAsia="仿宋_GB2312"/>
          <w:sz w:val="32"/>
        </w:rPr>
      </w:pPr>
      <w:r>
        <w:rPr>
          <w:rFonts w:hint="eastAsia" w:ascii="黑体" w:hAnsi="黑体" w:eastAsia="黑体"/>
          <w:sz w:val="32"/>
        </w:rPr>
        <w:t>第</w:t>
      </w:r>
      <w:r>
        <w:rPr>
          <w:rFonts w:hint="eastAsia" w:ascii="黑体" w:hAnsi="黑体" w:eastAsia="黑体"/>
          <w:sz w:val="32"/>
          <w:lang w:eastAsia="zh-CN"/>
        </w:rPr>
        <w:t>二十四</w:t>
      </w:r>
      <w:r>
        <w:rPr>
          <w:rFonts w:hint="eastAsia" w:ascii="黑体" w:hAnsi="黑体" w:eastAsia="黑体"/>
          <w:sz w:val="32"/>
        </w:rPr>
        <w:t>条</w:t>
      </w:r>
      <w:r>
        <w:rPr>
          <w:rFonts w:hint="eastAsia" w:ascii="黑体" w:hAnsi="黑体" w:eastAsia="黑体"/>
          <w:sz w:val="32"/>
          <w:lang w:val="en-US" w:eastAsia="zh-CN"/>
        </w:rPr>
        <w:t xml:space="preserve">  </w:t>
      </w:r>
      <w:r>
        <w:rPr>
          <w:rFonts w:hint="eastAsia" w:ascii="仿宋_GB2312" w:hAnsi="仿宋_GB2312" w:eastAsia="仿宋_GB2312"/>
          <w:sz w:val="32"/>
        </w:rPr>
        <w:t>代理机构</w:t>
      </w:r>
      <w:r>
        <w:rPr>
          <w:rFonts w:hint="eastAsia" w:ascii="仿宋_GB2312" w:hAnsi="仿宋_GB2312" w:eastAsia="仿宋_GB2312"/>
          <w:sz w:val="32"/>
          <w:lang w:eastAsia="zh-CN"/>
        </w:rPr>
        <w:t>记分采用百分制，初始记分均为</w:t>
      </w:r>
      <w:r>
        <w:rPr>
          <w:rFonts w:hint="eastAsia" w:ascii="仿宋_GB2312" w:hAnsi="仿宋_GB2312" w:eastAsia="仿宋_GB2312"/>
          <w:sz w:val="32"/>
          <w:lang w:val="en-US" w:eastAsia="zh-CN"/>
        </w:rPr>
        <w:t>100分。根据</w:t>
      </w:r>
      <w:r>
        <w:rPr>
          <w:rFonts w:hint="eastAsia" w:ascii="仿宋_GB2312" w:hAnsi="仿宋_GB2312" w:eastAsia="仿宋_GB2312"/>
          <w:sz w:val="32"/>
        </w:rPr>
        <w:t>代理机构违规行为</w:t>
      </w:r>
      <w:r>
        <w:rPr>
          <w:rFonts w:hint="eastAsia" w:ascii="仿宋_GB2312" w:hAnsi="仿宋_GB2312" w:eastAsia="仿宋_GB2312"/>
          <w:sz w:val="32"/>
          <w:lang w:eastAsia="zh-CN"/>
        </w:rPr>
        <w:t>轻重</w:t>
      </w:r>
      <w:r>
        <w:rPr>
          <w:rFonts w:hint="eastAsia" w:ascii="仿宋_GB2312" w:hAnsi="仿宋_GB2312" w:eastAsia="仿宋_GB2312"/>
          <w:sz w:val="32"/>
        </w:rPr>
        <w:t>程度，分别记3分、6分</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9分、15分</w:t>
      </w:r>
      <w:r>
        <w:rPr>
          <w:rFonts w:hint="eastAsia" w:ascii="仿宋_GB2312" w:hAnsi="仿宋_GB2312" w:eastAsia="仿宋_GB2312"/>
          <w:sz w:val="32"/>
        </w:rPr>
        <w:t>和</w:t>
      </w:r>
      <w:r>
        <w:rPr>
          <w:rFonts w:hint="eastAsia" w:ascii="仿宋_GB2312" w:hAnsi="仿宋_GB2312" w:eastAsia="仿宋_GB2312"/>
          <w:sz w:val="32"/>
          <w:lang w:val="en-US" w:eastAsia="zh-CN"/>
        </w:rPr>
        <w:t>20</w:t>
      </w:r>
      <w:r>
        <w:rPr>
          <w:rFonts w:hint="eastAsia" w:ascii="仿宋_GB2312" w:hAnsi="仿宋_GB2312" w:eastAsia="仿宋_GB2312"/>
          <w:sz w:val="32"/>
        </w:rPr>
        <w:t>分。对重复出现违法违规行为的，按次数累计记分。</w:t>
      </w:r>
    </w:p>
    <w:p w14:paraId="286A8315">
      <w:pPr>
        <w:keepNext w:val="0"/>
        <w:keepLines w:val="0"/>
        <w:pageBreakBefore w:val="0"/>
        <w:numPr>
          <w:ilvl w:val="0"/>
          <w:numId w:val="0"/>
        </w:numPr>
        <w:kinsoku/>
        <w:wordWrap/>
        <w:overflowPunct w:val="0"/>
        <w:topLinePunct w:val="0"/>
        <w:autoSpaceDE/>
        <w:bidi w:val="0"/>
        <w:adjustRightInd/>
        <w:spacing w:line="560" w:lineRule="exact"/>
        <w:ind w:leftChars="0" w:right="0" w:rightChars="0" w:firstLine="640" w:firstLineChars="200"/>
        <w:jc w:val="left"/>
        <w:textAlignment w:val="auto"/>
        <w:rPr>
          <w:rFonts w:hint="eastAsia" w:ascii="仿宋_GB2312" w:hAnsi="仿宋_GB2312" w:eastAsia="仿宋_GB2312"/>
          <w:sz w:val="32"/>
          <w:lang w:eastAsia="zh-CN"/>
        </w:rPr>
      </w:pPr>
      <w:r>
        <w:rPr>
          <w:rFonts w:hint="eastAsia" w:ascii="黑体" w:hAnsi="黑体" w:eastAsia="黑体" w:cs="黑体"/>
          <w:sz w:val="32"/>
          <w:lang w:val="en-US" w:eastAsia="zh-CN"/>
        </w:rPr>
        <w:t xml:space="preserve">第二十五条  </w:t>
      </w:r>
      <w:r>
        <w:rPr>
          <w:rFonts w:hint="eastAsia" w:ascii="仿宋_GB2312" w:hAnsi="仿宋_GB2312" w:eastAsia="仿宋_GB2312"/>
          <w:sz w:val="32"/>
        </w:rPr>
        <w:t>各级财政部门记分</w:t>
      </w:r>
      <w:r>
        <w:rPr>
          <w:rFonts w:hint="eastAsia" w:ascii="仿宋_GB2312" w:hAnsi="仿宋_GB2312" w:eastAsia="仿宋_GB2312"/>
          <w:sz w:val="32"/>
          <w:lang w:eastAsia="zh-CN"/>
        </w:rPr>
        <w:t>处理</w:t>
      </w:r>
      <w:r>
        <w:rPr>
          <w:rFonts w:hint="eastAsia" w:ascii="仿宋_GB2312" w:hAnsi="仿宋_GB2312" w:eastAsia="仿宋_GB2312"/>
          <w:sz w:val="32"/>
        </w:rPr>
        <w:t>时，应当以书面形式向代理机构开具</w:t>
      </w:r>
      <w:r>
        <w:rPr>
          <w:rFonts w:hint="eastAsia" w:ascii="仿宋_GB2312" w:hAnsi="仿宋_GB2312" w:eastAsia="仿宋_GB2312"/>
          <w:sz w:val="32"/>
          <w:lang w:eastAsia="zh-CN"/>
        </w:rPr>
        <w:t>政府采购监督处理决定书</w:t>
      </w:r>
      <w:r>
        <w:rPr>
          <w:rFonts w:hint="eastAsia" w:ascii="楷体_GB2312" w:hAnsi="楷体_GB2312" w:eastAsia="楷体_GB2312" w:cs="楷体_GB2312"/>
          <w:sz w:val="32"/>
        </w:rPr>
        <w:t>（详见附件</w:t>
      </w:r>
      <w:r>
        <w:rPr>
          <w:rFonts w:hint="eastAsia" w:ascii="楷体_GB2312" w:hAnsi="楷体_GB2312" w:eastAsia="楷体_GB2312" w:cs="楷体_GB2312"/>
          <w:sz w:val="32"/>
          <w:lang w:val="en-US" w:eastAsia="zh-CN"/>
        </w:rPr>
        <w:t>3</w:t>
      </w:r>
      <w:r>
        <w:rPr>
          <w:rFonts w:hint="eastAsia" w:ascii="楷体_GB2312" w:hAnsi="楷体_GB2312" w:eastAsia="楷体_GB2312" w:cs="楷体_GB2312"/>
          <w:sz w:val="32"/>
        </w:rPr>
        <w:t>）</w:t>
      </w:r>
      <w:r>
        <w:rPr>
          <w:rFonts w:hint="eastAsia" w:ascii="仿宋_GB2312" w:hAnsi="仿宋_GB2312" w:eastAsia="仿宋_GB2312"/>
          <w:sz w:val="32"/>
          <w:lang w:eastAsia="zh-CN"/>
        </w:rPr>
        <w:t>（以下称处理决定书）</w:t>
      </w:r>
      <w:r>
        <w:rPr>
          <w:rFonts w:hint="eastAsia" w:ascii="仿宋_GB2312" w:hAnsi="仿宋_GB2312" w:eastAsia="仿宋_GB2312"/>
          <w:sz w:val="32"/>
        </w:rPr>
        <w:t>，</w:t>
      </w:r>
      <w:r>
        <w:rPr>
          <w:rFonts w:hint="eastAsia" w:ascii="仿宋_GB2312" w:hAnsi="仿宋_GB2312" w:eastAsia="仿宋_GB2312"/>
          <w:sz w:val="32"/>
          <w:highlight w:val="none"/>
          <w:lang w:eastAsia="zh-CN"/>
        </w:rPr>
        <w:t>并将记分情况于</w:t>
      </w:r>
      <w:r>
        <w:rPr>
          <w:rFonts w:hint="eastAsia" w:ascii="仿宋_GB2312" w:hAnsi="仿宋_GB2312" w:eastAsia="仿宋_GB2312"/>
          <w:sz w:val="32"/>
          <w:highlight w:val="none"/>
          <w:lang w:val="en-US" w:eastAsia="zh-CN"/>
        </w:rPr>
        <w:t>3个工作日内录入“青海政府采购网——诚信管理——违规管理”模块。记</w:t>
      </w:r>
      <w:r>
        <w:rPr>
          <w:rFonts w:hint="eastAsia" w:ascii="仿宋_GB2312" w:hAnsi="仿宋_GB2312" w:eastAsia="仿宋_GB2312"/>
          <w:sz w:val="32"/>
        </w:rPr>
        <w:t>分情况</w:t>
      </w:r>
      <w:r>
        <w:rPr>
          <w:rFonts w:hint="eastAsia" w:ascii="仿宋_GB2312" w:hAnsi="仿宋_GB2312" w:eastAsia="仿宋_GB2312"/>
          <w:sz w:val="32"/>
          <w:lang w:eastAsia="zh-CN"/>
        </w:rPr>
        <w:t>应当</w:t>
      </w:r>
      <w:r>
        <w:rPr>
          <w:rFonts w:hint="eastAsia" w:ascii="仿宋_GB2312" w:hAnsi="仿宋_GB2312" w:eastAsia="仿宋_GB2312"/>
          <w:sz w:val="32"/>
        </w:rPr>
        <w:t>在“</w:t>
      </w:r>
      <w:r>
        <w:rPr>
          <w:rFonts w:hint="eastAsia" w:ascii="仿宋_GB2312" w:hAnsi="仿宋_GB2312" w:eastAsia="仿宋_GB2312"/>
          <w:sz w:val="32"/>
          <w:lang w:eastAsia="zh-CN"/>
        </w:rPr>
        <w:t>青海</w:t>
      </w:r>
      <w:r>
        <w:rPr>
          <w:rFonts w:hint="eastAsia" w:ascii="仿宋_GB2312" w:hAnsi="仿宋_GB2312" w:eastAsia="仿宋_GB2312"/>
          <w:sz w:val="32"/>
        </w:rPr>
        <w:t>政府采购网”进行公告</w:t>
      </w:r>
      <w:r>
        <w:rPr>
          <w:rFonts w:hint="eastAsia" w:ascii="仿宋_GB2312" w:hAnsi="仿宋_GB2312" w:eastAsia="仿宋_GB2312"/>
          <w:sz w:val="32"/>
          <w:lang w:eastAsia="zh-CN"/>
        </w:rPr>
        <w:t>。</w:t>
      </w:r>
    </w:p>
    <w:p w14:paraId="7586119E">
      <w:pPr>
        <w:keepNext w:val="0"/>
        <w:keepLines w:val="0"/>
        <w:pageBreakBefore w:val="0"/>
        <w:kinsoku/>
        <w:wordWrap/>
        <w:overflowPunct w:val="0"/>
        <w:topLinePunct w:val="0"/>
        <w:autoSpaceDE/>
        <w:bidi w:val="0"/>
        <w:adjustRightInd/>
        <w:spacing w:line="560" w:lineRule="exact"/>
        <w:ind w:left="0" w:leftChars="0" w:right="0" w:firstLine="640" w:firstLineChars="200"/>
        <w:textAlignment w:val="auto"/>
        <w:rPr>
          <w:rFonts w:hint="eastAsia" w:ascii="黑体" w:hAnsi="黑体" w:eastAsia="黑体" w:cs="黑体"/>
          <w:sz w:val="32"/>
          <w:lang w:val="en-US" w:eastAsia="zh-CN"/>
        </w:rPr>
      </w:pPr>
      <w:r>
        <w:rPr>
          <w:rFonts w:hint="eastAsia" w:ascii="仿宋_GB2312" w:hAnsi="仿宋_GB2312" w:eastAsia="仿宋_GB2312"/>
          <w:sz w:val="32"/>
        </w:rPr>
        <w:t>代理机构对</w:t>
      </w:r>
      <w:r>
        <w:rPr>
          <w:rFonts w:hint="eastAsia" w:ascii="仿宋_GB2312" w:hAnsi="仿宋_GB2312" w:eastAsia="仿宋_GB2312"/>
          <w:sz w:val="32"/>
          <w:lang w:eastAsia="zh-CN"/>
        </w:rPr>
        <w:t>记</w:t>
      </w:r>
      <w:r>
        <w:rPr>
          <w:rFonts w:hint="eastAsia" w:ascii="仿宋_GB2312" w:hAnsi="仿宋_GB2312" w:eastAsia="仿宋_GB2312"/>
          <w:sz w:val="32"/>
        </w:rPr>
        <w:t>分情况有异议的，可自收到之日或</w:t>
      </w:r>
      <w:r>
        <w:rPr>
          <w:rFonts w:hint="eastAsia" w:ascii="仿宋_GB2312" w:hAnsi="仿宋_GB2312" w:eastAsia="仿宋_GB2312"/>
          <w:sz w:val="32"/>
          <w:lang w:eastAsia="zh-CN"/>
        </w:rPr>
        <w:t>处理决定书</w:t>
      </w:r>
      <w:r>
        <w:rPr>
          <w:rFonts w:hint="eastAsia" w:ascii="仿宋_GB2312" w:hAnsi="仿宋_GB2312" w:eastAsia="仿宋_GB2312"/>
          <w:sz w:val="32"/>
        </w:rPr>
        <w:t>之日起7个工作日内向开具该通知书的财政部门提出</w:t>
      </w:r>
      <w:r>
        <w:rPr>
          <w:rFonts w:hint="eastAsia" w:ascii="仿宋_GB2312" w:hAnsi="仿宋_GB2312" w:eastAsia="仿宋_GB2312"/>
          <w:sz w:val="32"/>
          <w:lang w:eastAsia="zh-CN"/>
        </w:rPr>
        <w:t>异议申请</w:t>
      </w:r>
      <w:r>
        <w:rPr>
          <w:rFonts w:hint="eastAsia" w:ascii="仿宋_GB2312" w:hAnsi="仿宋_GB2312" w:eastAsia="仿宋_GB2312"/>
          <w:sz w:val="32"/>
        </w:rPr>
        <w:t>。</w:t>
      </w:r>
      <w:r>
        <w:rPr>
          <w:rFonts w:hint="eastAsia" w:ascii="仿宋_GB2312" w:hAnsi="仿宋_GB2312" w:eastAsia="仿宋_GB2312"/>
          <w:sz w:val="32"/>
          <w:lang w:eastAsia="zh-CN"/>
        </w:rPr>
        <w:t xml:space="preserve">财政部门对异议申请进行复核，对于代理机构提出的事实、理由或者证据成立的，财政部门应当采纳。 </w:t>
      </w:r>
    </w:p>
    <w:p w14:paraId="494DE9E5">
      <w:pPr>
        <w:keepNext w:val="0"/>
        <w:keepLines w:val="0"/>
        <w:pageBreakBefore w:val="0"/>
        <w:kinsoku/>
        <w:wordWrap/>
        <w:overflowPunct w:val="0"/>
        <w:topLinePunct w:val="0"/>
        <w:autoSpaceDE/>
        <w:bidi w:val="0"/>
        <w:adjustRightInd/>
        <w:spacing w:line="540" w:lineRule="exact"/>
        <w:ind w:left="0" w:right="0" w:firstLine="640" w:firstLineChars="200"/>
        <w:textAlignment w:val="auto"/>
        <w:rPr>
          <w:rFonts w:hint="eastAsia" w:ascii="仿宋_GB2312" w:hAnsi="仿宋_GB2312" w:eastAsia="仿宋_GB2312"/>
          <w:sz w:val="32"/>
        </w:rPr>
      </w:pPr>
      <w:r>
        <w:rPr>
          <w:rFonts w:hint="eastAsia" w:ascii="黑体" w:hAnsi="黑体" w:eastAsia="黑体"/>
          <w:sz w:val="32"/>
          <w:lang w:eastAsia="zh-CN"/>
        </w:rPr>
        <w:t>第二十六条</w:t>
      </w:r>
      <w:r>
        <w:rPr>
          <w:rFonts w:hint="eastAsia" w:ascii="仿宋_GB2312" w:hAnsi="仿宋_GB2312" w:eastAsia="仿宋_GB2312"/>
          <w:sz w:val="32"/>
          <w:lang w:val="en-US" w:eastAsia="zh-CN"/>
        </w:rPr>
        <w:t xml:space="preserve">  </w:t>
      </w:r>
      <w:r>
        <w:rPr>
          <w:rFonts w:hint="eastAsia" w:ascii="仿宋_GB2312" w:hAnsi="仿宋_GB2312" w:eastAsia="仿宋_GB2312"/>
          <w:sz w:val="32"/>
          <w:lang w:eastAsia="zh-CN"/>
        </w:rPr>
        <w:t>财政部门进行记分管理的周期为每自然年度的</w:t>
      </w:r>
      <w:r>
        <w:rPr>
          <w:rFonts w:hint="eastAsia" w:ascii="仿宋_GB2312" w:hAnsi="仿宋_GB2312" w:eastAsia="仿宋_GB2312"/>
          <w:sz w:val="32"/>
          <w:lang w:val="en-US" w:eastAsia="zh-CN"/>
        </w:rPr>
        <w:t>12个月。</w:t>
      </w:r>
      <w:r>
        <w:rPr>
          <w:rFonts w:hint="eastAsia" w:ascii="仿宋_GB2312" w:hAnsi="仿宋_GB2312" w:eastAsia="仿宋_GB2312"/>
          <w:sz w:val="32"/>
        </w:rPr>
        <w:t>一个记分周期满后，记分分值累加不足100分的</w:t>
      </w:r>
      <w:r>
        <w:rPr>
          <w:rFonts w:hint="eastAsia" w:ascii="仿宋_GB2312" w:hAnsi="仿宋_GB2312" w:eastAsia="仿宋_GB2312"/>
          <w:sz w:val="32"/>
          <w:lang w:eastAsia="zh-CN"/>
        </w:rPr>
        <w:t>，</w:t>
      </w:r>
      <w:r>
        <w:rPr>
          <w:rFonts w:hint="eastAsia" w:ascii="仿宋_GB2312" w:hAnsi="仿宋_GB2312" w:eastAsia="仿宋_GB2312"/>
          <w:sz w:val="32"/>
        </w:rPr>
        <w:t>该周期内的记分分值予以消除，不转入下一记分周期。</w:t>
      </w:r>
    </w:p>
    <w:p w14:paraId="75A60625">
      <w:pPr>
        <w:keepNext w:val="0"/>
        <w:keepLines w:val="0"/>
        <w:pageBreakBefore w:val="0"/>
        <w:numPr>
          <w:ilvl w:val="0"/>
          <w:numId w:val="0"/>
        </w:numPr>
        <w:kinsoku/>
        <w:wordWrap/>
        <w:overflowPunct w:val="0"/>
        <w:topLinePunct w:val="0"/>
        <w:autoSpaceDE/>
        <w:bidi w:val="0"/>
        <w:adjustRightInd/>
        <w:spacing w:line="560" w:lineRule="exact"/>
        <w:ind w:leftChars="0" w:right="0" w:rightChars="0" w:firstLine="640" w:firstLineChars="200"/>
        <w:textAlignment w:val="auto"/>
        <w:rPr>
          <w:rFonts w:hint="eastAsia" w:ascii="仿宋_GB2312" w:hAnsi="仿宋_GB2312" w:eastAsia="仿宋_GB2312"/>
          <w:sz w:val="32"/>
          <w:highlight w:val="none"/>
          <w:lang w:eastAsia="zh-CN"/>
        </w:rPr>
      </w:pPr>
      <w:r>
        <w:rPr>
          <w:rFonts w:hint="eastAsia" w:ascii="仿宋_GB2312" w:hAnsi="仿宋_GB2312" w:eastAsia="仿宋_GB2312"/>
          <w:sz w:val="32"/>
          <w:highlight w:val="none"/>
        </w:rPr>
        <w:t>对一个记分周期内</w:t>
      </w:r>
      <w:r>
        <w:rPr>
          <w:rFonts w:hint="eastAsia" w:ascii="仿宋_GB2312" w:hAnsi="仿宋_GB2312" w:eastAsia="仿宋_GB2312"/>
          <w:sz w:val="32"/>
          <w:highlight w:val="none"/>
          <w:lang w:eastAsia="zh-CN"/>
        </w:rPr>
        <w:t>记分不满</w:t>
      </w:r>
      <w:r>
        <w:rPr>
          <w:rFonts w:hint="eastAsia" w:ascii="仿宋_GB2312" w:hAnsi="仿宋_GB2312" w:eastAsia="仿宋_GB2312"/>
          <w:sz w:val="32"/>
          <w:highlight w:val="none"/>
          <w:lang w:val="en-US" w:eastAsia="zh-CN"/>
        </w:rPr>
        <w:t>80分的代理机构，由省财政厅</w:t>
      </w:r>
      <w:r>
        <w:rPr>
          <w:rFonts w:hint="eastAsia" w:ascii="仿宋_GB2312" w:hAnsi="仿宋_GB2312" w:eastAsia="仿宋_GB2312"/>
          <w:sz w:val="32"/>
          <w:highlight w:val="none"/>
        </w:rPr>
        <w:t>进行约谈并下达整改通知书</w:t>
      </w:r>
      <w:r>
        <w:rPr>
          <w:rFonts w:hint="eastAsia" w:ascii="楷体_GB2312" w:hAnsi="楷体_GB2312" w:eastAsia="楷体_GB2312" w:cs="楷体_GB2312"/>
          <w:b w:val="0"/>
          <w:bCs w:val="0"/>
          <w:sz w:val="32"/>
          <w:lang w:eastAsia="zh-CN"/>
        </w:rPr>
        <w:t>（详见附件</w:t>
      </w:r>
      <w:r>
        <w:rPr>
          <w:rFonts w:hint="eastAsia" w:ascii="楷体_GB2312" w:hAnsi="楷体_GB2312" w:eastAsia="楷体_GB2312" w:cs="楷体_GB2312"/>
          <w:b w:val="0"/>
          <w:bCs w:val="0"/>
          <w:sz w:val="32"/>
          <w:lang w:val="en-US" w:eastAsia="zh-CN"/>
        </w:rPr>
        <w:t>4</w:t>
      </w:r>
      <w:r>
        <w:rPr>
          <w:rFonts w:hint="eastAsia" w:ascii="楷体_GB2312" w:hAnsi="楷体_GB2312" w:eastAsia="楷体_GB2312" w:cs="楷体_GB2312"/>
          <w:b w:val="0"/>
          <w:bCs w:val="0"/>
          <w:sz w:val="32"/>
          <w:lang w:eastAsia="zh-CN"/>
        </w:rPr>
        <w:t>）</w:t>
      </w:r>
      <w:r>
        <w:rPr>
          <w:rFonts w:hint="eastAsia" w:ascii="仿宋_GB2312" w:hAnsi="仿宋_GB2312" w:eastAsia="仿宋_GB2312"/>
          <w:sz w:val="32"/>
          <w:highlight w:val="none"/>
          <w:lang w:eastAsia="zh-CN"/>
        </w:rPr>
        <w:t>，暂停其</w:t>
      </w:r>
      <w:r>
        <w:rPr>
          <w:rFonts w:hint="eastAsia" w:ascii="仿宋_GB2312" w:hAnsi="仿宋_GB2312" w:eastAsia="仿宋_GB2312"/>
          <w:sz w:val="32"/>
          <w:highlight w:val="none"/>
          <w:lang w:val="en-US" w:eastAsia="zh-CN"/>
        </w:rPr>
        <w:t>在“青海政府采购网”的账号使用权限</w:t>
      </w:r>
      <w:r>
        <w:rPr>
          <w:rFonts w:hint="eastAsia" w:ascii="仿宋_GB2312" w:hAnsi="仿宋_GB2312" w:eastAsia="仿宋_GB2312"/>
          <w:sz w:val="32"/>
          <w:highlight w:val="none"/>
        </w:rPr>
        <w:t>，整改时间为</w:t>
      </w:r>
      <w:r>
        <w:rPr>
          <w:rFonts w:hint="eastAsia" w:ascii="仿宋_GB2312" w:hAnsi="仿宋_GB2312" w:eastAsia="仿宋_GB2312"/>
          <w:sz w:val="32"/>
          <w:highlight w:val="none"/>
          <w:lang w:val="en-US" w:eastAsia="zh-CN"/>
        </w:rPr>
        <w:t>30日</w:t>
      </w:r>
      <w:r>
        <w:rPr>
          <w:rFonts w:hint="eastAsia" w:ascii="仿宋_GB2312" w:hAnsi="仿宋_GB2312" w:eastAsia="仿宋_GB2312"/>
          <w:sz w:val="32"/>
          <w:highlight w:val="none"/>
        </w:rPr>
        <w:t>；</w:t>
      </w:r>
      <w:r>
        <w:rPr>
          <w:rFonts w:hint="eastAsia" w:ascii="仿宋_GB2312" w:hAnsi="仿宋_GB2312" w:eastAsia="仿宋_GB2312"/>
          <w:sz w:val="32"/>
          <w:highlight w:val="none"/>
          <w:lang w:eastAsia="zh-CN"/>
        </w:rPr>
        <w:t>一个</w:t>
      </w:r>
      <w:r>
        <w:rPr>
          <w:rFonts w:hint="eastAsia" w:ascii="仿宋_GB2312" w:hAnsi="仿宋_GB2312" w:eastAsia="仿宋_GB2312"/>
          <w:sz w:val="32"/>
          <w:highlight w:val="none"/>
        </w:rPr>
        <w:t>记分周期</w:t>
      </w:r>
      <w:r>
        <w:rPr>
          <w:rFonts w:hint="eastAsia" w:ascii="仿宋_GB2312" w:hAnsi="仿宋_GB2312" w:eastAsia="仿宋_GB2312"/>
          <w:sz w:val="32"/>
          <w:highlight w:val="none"/>
          <w:lang w:eastAsia="zh-CN"/>
        </w:rPr>
        <w:t>内记分不满</w:t>
      </w:r>
      <w:r>
        <w:rPr>
          <w:rFonts w:hint="eastAsia" w:ascii="仿宋_GB2312" w:hAnsi="仿宋_GB2312" w:eastAsia="仿宋_GB2312"/>
          <w:sz w:val="32"/>
          <w:highlight w:val="none"/>
          <w:lang w:val="en-US" w:eastAsia="zh-CN"/>
        </w:rPr>
        <w:t>60分的，</w:t>
      </w:r>
      <w:r>
        <w:rPr>
          <w:rFonts w:hint="eastAsia" w:ascii="仿宋_GB2312" w:hAnsi="仿宋_GB2312" w:eastAsia="仿宋_GB2312"/>
          <w:sz w:val="32"/>
          <w:highlight w:val="none"/>
          <w:lang w:eastAsia="zh-CN"/>
        </w:rPr>
        <w:t>财政部门将该代理机构列为重点监管对象，并纳入年度代理机构监督检查对象。</w:t>
      </w:r>
    </w:p>
    <w:p w14:paraId="7871846F">
      <w:pPr>
        <w:keepNext w:val="0"/>
        <w:keepLines w:val="0"/>
        <w:pageBreakBefore w:val="0"/>
        <w:kinsoku/>
        <w:wordWrap/>
        <w:overflowPunct w:val="0"/>
        <w:topLinePunct w:val="0"/>
        <w:autoSpaceDE/>
        <w:bidi w:val="0"/>
        <w:adjustRightInd/>
        <w:spacing w:line="560" w:lineRule="exact"/>
        <w:ind w:left="0" w:leftChars="0" w:right="0" w:firstLine="640" w:firstLineChars="200"/>
        <w:textAlignment w:val="auto"/>
        <w:rPr>
          <w:rFonts w:hint="eastAsia" w:ascii="仿宋_GB2312" w:hAnsi="仿宋_GB2312" w:eastAsia="仿宋_GB2312"/>
          <w:sz w:val="32"/>
        </w:rPr>
      </w:pPr>
      <w:r>
        <w:rPr>
          <w:rFonts w:hint="eastAsia" w:ascii="仿宋_GB2312" w:hAnsi="仿宋_GB2312" w:eastAsia="仿宋_GB2312"/>
          <w:sz w:val="32"/>
        </w:rPr>
        <w:t>代理机构应在收到整改通知书后7个工作日内制订整改计划，并报作出决定的财政部门备案。</w:t>
      </w:r>
    </w:p>
    <w:p w14:paraId="3B97A3F4">
      <w:pPr>
        <w:keepNext w:val="0"/>
        <w:keepLines w:val="0"/>
        <w:pageBreakBefore w:val="0"/>
        <w:tabs>
          <w:tab w:val="center" w:pos="4473"/>
        </w:tabs>
        <w:kinsoku/>
        <w:wordWrap/>
        <w:topLinePunct w:val="0"/>
        <w:autoSpaceDE/>
        <w:bidi w:val="0"/>
        <w:adjustRightInd/>
        <w:snapToGrid/>
        <w:spacing w:line="560" w:lineRule="exact"/>
        <w:ind w:right="0" w:firstLine="640" w:firstLineChars="200"/>
        <w:textAlignment w:val="auto"/>
        <w:rPr>
          <w:rFonts w:hint="default" w:ascii="黑体" w:hAnsi="黑体" w:eastAsia="黑体"/>
          <w:sz w:val="32"/>
          <w:lang w:val="en-US" w:eastAsia="zh-CN"/>
        </w:rPr>
      </w:pPr>
      <w:r>
        <w:rPr>
          <w:rFonts w:hint="eastAsia" w:ascii="黑体" w:hAnsi="黑体" w:eastAsia="黑体"/>
          <w:sz w:val="32"/>
        </w:rPr>
        <w:t>第二十</w:t>
      </w:r>
      <w:r>
        <w:rPr>
          <w:rFonts w:hint="eastAsia" w:ascii="黑体" w:hAnsi="黑体" w:eastAsia="黑体"/>
          <w:sz w:val="32"/>
          <w:lang w:eastAsia="zh-CN"/>
        </w:rPr>
        <w:t>七</w:t>
      </w:r>
      <w:r>
        <w:rPr>
          <w:rFonts w:hint="eastAsia" w:ascii="黑体" w:hAnsi="黑体" w:eastAsia="黑体"/>
          <w:sz w:val="32"/>
        </w:rPr>
        <w:t xml:space="preserve">条 </w:t>
      </w:r>
      <w:r>
        <w:rPr>
          <w:rFonts w:hint="eastAsia" w:ascii="仿宋_GB2312" w:hAnsi="仿宋_GB2312" w:eastAsia="仿宋_GB2312"/>
          <w:sz w:val="32"/>
        </w:rPr>
        <w:t xml:space="preserve"> </w:t>
      </w:r>
      <w:r>
        <w:rPr>
          <w:rFonts w:hint="eastAsia" w:ascii="仿宋_GB2312" w:hAnsi="仿宋_GB2312" w:eastAsia="仿宋_GB2312"/>
          <w:sz w:val="32"/>
          <w:lang w:eastAsia="zh-CN"/>
        </w:rPr>
        <w:t>各级财政部门应对整改期内完成整改的代理机构进行验收核查，并填写</w:t>
      </w:r>
      <w:r>
        <w:rPr>
          <w:rFonts w:hint="eastAsia" w:ascii="仿宋_GB2312" w:hAnsi="宋体" w:eastAsia="仿宋_GB2312"/>
          <w:sz w:val="32"/>
          <w:szCs w:val="32"/>
          <w:lang w:eastAsia="zh-CN"/>
        </w:rPr>
        <w:t>政府采购代理机构整改验收表（</w:t>
      </w:r>
      <w:r>
        <w:rPr>
          <w:rFonts w:hint="eastAsia" w:ascii="楷体_GB2312" w:hAnsi="楷体_GB2312" w:eastAsia="楷体_GB2312" w:cs="楷体_GB2312"/>
          <w:sz w:val="32"/>
          <w:szCs w:val="32"/>
          <w:lang w:eastAsia="zh-CN"/>
        </w:rPr>
        <w:t>详见附件</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lang w:eastAsia="zh-CN"/>
        </w:rPr>
        <w:t>）</w:t>
      </w:r>
      <w:r>
        <w:rPr>
          <w:rFonts w:hint="eastAsia" w:ascii="仿宋_GB2312" w:hAnsi="宋体" w:eastAsia="仿宋_GB2312"/>
          <w:sz w:val="32"/>
          <w:szCs w:val="32"/>
          <w:lang w:eastAsia="zh-CN"/>
        </w:rPr>
        <w:t>。验收合格的，开放其</w:t>
      </w:r>
      <w:r>
        <w:rPr>
          <w:rFonts w:hint="eastAsia" w:ascii="仿宋_GB2312" w:hAnsi="仿宋_GB2312" w:eastAsia="仿宋_GB2312"/>
          <w:sz w:val="32"/>
          <w:highlight w:val="none"/>
          <w:lang w:val="en-US" w:eastAsia="zh-CN"/>
        </w:rPr>
        <w:t>在“青海政府采购网”的账号使用权限；</w:t>
      </w:r>
      <w:r>
        <w:rPr>
          <w:rFonts w:hint="eastAsia" w:ascii="仿宋_GB2312" w:hAnsi="宋体" w:eastAsia="仿宋_GB2312"/>
          <w:sz w:val="32"/>
          <w:szCs w:val="32"/>
        </w:rPr>
        <w:t>验收不合格的，责令继续整改，</w:t>
      </w:r>
      <w:r>
        <w:rPr>
          <w:rFonts w:hint="eastAsia" w:ascii="仿宋_GB2312" w:hAnsi="宋体" w:eastAsia="仿宋_GB2312"/>
          <w:sz w:val="32"/>
          <w:szCs w:val="32"/>
          <w:lang w:eastAsia="zh-CN"/>
        </w:rPr>
        <w:t>整改期限延长</w:t>
      </w:r>
      <w:r>
        <w:rPr>
          <w:rFonts w:hint="eastAsia" w:ascii="仿宋_GB2312" w:hAnsi="宋体" w:eastAsia="仿宋_GB2312"/>
          <w:sz w:val="32"/>
          <w:szCs w:val="32"/>
          <w:lang w:val="en-US" w:eastAsia="zh-CN"/>
        </w:rPr>
        <w:t>30日。</w:t>
      </w:r>
    </w:p>
    <w:p w14:paraId="64F9D027">
      <w:pPr>
        <w:keepNext w:val="0"/>
        <w:keepLines w:val="0"/>
        <w:pageBreakBefore w:val="0"/>
        <w:numPr>
          <w:ilvl w:val="0"/>
          <w:numId w:val="0"/>
        </w:numPr>
        <w:kinsoku/>
        <w:wordWrap/>
        <w:overflowPunct w:val="0"/>
        <w:topLinePunct w:val="0"/>
        <w:autoSpaceDE/>
        <w:bidi w:val="0"/>
        <w:adjustRightInd/>
        <w:spacing w:line="540" w:lineRule="exact"/>
        <w:ind w:right="0" w:rightChars="0" w:firstLine="640" w:firstLineChars="200"/>
        <w:textAlignment w:val="auto"/>
        <w:rPr>
          <w:rFonts w:hint="eastAsia" w:ascii="仿宋_GB2312" w:hAnsi="仿宋_GB2312" w:eastAsia="仿宋_GB2312"/>
          <w:b/>
          <w:bCs/>
          <w:sz w:val="32"/>
        </w:rPr>
      </w:pPr>
      <w:r>
        <w:rPr>
          <w:rFonts w:hint="eastAsia" w:ascii="黑体" w:hAnsi="黑体" w:eastAsia="黑体"/>
          <w:b w:val="0"/>
          <w:bCs w:val="0"/>
          <w:sz w:val="32"/>
        </w:rPr>
        <w:t>第</w:t>
      </w:r>
      <w:r>
        <w:rPr>
          <w:rFonts w:hint="eastAsia" w:ascii="黑体" w:hAnsi="黑体" w:eastAsia="黑体"/>
          <w:b w:val="0"/>
          <w:bCs w:val="0"/>
          <w:sz w:val="32"/>
          <w:lang w:eastAsia="zh-CN"/>
        </w:rPr>
        <w:t>二十八</w:t>
      </w:r>
      <w:r>
        <w:rPr>
          <w:rFonts w:hint="eastAsia" w:ascii="黑体" w:hAnsi="黑体" w:eastAsia="黑体"/>
          <w:b w:val="0"/>
          <w:bCs w:val="0"/>
          <w:sz w:val="32"/>
        </w:rPr>
        <w:t>条</w:t>
      </w:r>
      <w:r>
        <w:rPr>
          <w:rFonts w:hint="eastAsia" w:ascii="黑体" w:hAnsi="黑体" w:eastAsia="黑体"/>
          <w:b/>
          <w:bCs/>
          <w:sz w:val="32"/>
        </w:rPr>
        <w:t xml:space="preserve"> </w:t>
      </w:r>
      <w:r>
        <w:rPr>
          <w:rFonts w:hint="eastAsia" w:ascii="黑体" w:hAnsi="黑体" w:eastAsia="黑体"/>
          <w:b/>
          <w:bCs/>
          <w:sz w:val="32"/>
          <w:lang w:val="en-US" w:eastAsia="zh-CN"/>
        </w:rPr>
        <w:t xml:space="preserve"> </w:t>
      </w:r>
      <w:r>
        <w:rPr>
          <w:rFonts w:hint="eastAsia" w:ascii="仿宋_GB2312" w:hAnsi="宋体" w:eastAsia="仿宋_GB2312"/>
          <w:b w:val="0"/>
          <w:bCs w:val="0"/>
          <w:sz w:val="32"/>
          <w:szCs w:val="32"/>
          <w:lang w:eastAsia="zh-CN"/>
        </w:rPr>
        <w:t>各级财政部门在日常监管和专项检查中，对照本办法进行记分。</w:t>
      </w:r>
      <w:r>
        <w:rPr>
          <w:rFonts w:hint="eastAsia" w:ascii="仿宋_GB2312" w:hAnsi="宋体" w:eastAsia="仿宋_GB2312"/>
          <w:sz w:val="32"/>
          <w:szCs w:val="32"/>
          <w:lang w:eastAsia="zh-CN"/>
        </w:rPr>
        <w:t>代理机构有其他违规行为的，参照记分规则中同类性质情形，按行为轻重酌情记分。代</w:t>
      </w:r>
      <w:r>
        <w:rPr>
          <w:rFonts w:hint="eastAsia" w:ascii="仿宋_GB2312" w:hAnsi="仿宋_GB2312" w:eastAsia="仿宋_GB2312" w:cs="仿宋_GB2312"/>
          <w:bCs/>
          <w:sz w:val="32"/>
          <w:szCs w:val="32"/>
        </w:rPr>
        <w:t>理机构能够提供足够证据证明不存在主观过错，或情节轻微未造成危害后果的，财政部门可以</w:t>
      </w:r>
      <w:r>
        <w:rPr>
          <w:rFonts w:hint="eastAsia" w:ascii="仿宋_GB2312" w:hAnsi="仿宋_GB2312" w:eastAsia="仿宋_GB2312" w:cs="仿宋_GB2312"/>
          <w:bCs/>
          <w:sz w:val="32"/>
          <w:szCs w:val="32"/>
          <w:lang w:eastAsia="zh-CN"/>
        </w:rPr>
        <w:t>视情节</w:t>
      </w:r>
      <w:r>
        <w:rPr>
          <w:rFonts w:hint="eastAsia" w:ascii="仿宋_GB2312" w:hAnsi="仿宋_GB2312" w:eastAsia="仿宋_GB2312" w:cs="仿宋_GB2312"/>
          <w:bCs/>
          <w:sz w:val="32"/>
          <w:szCs w:val="32"/>
        </w:rPr>
        <w:t>不</w:t>
      </w:r>
      <w:r>
        <w:rPr>
          <w:rFonts w:hint="eastAsia" w:ascii="仿宋_GB2312" w:hAnsi="仿宋_GB2312" w:eastAsia="仿宋_GB2312" w:cs="仿宋_GB2312"/>
          <w:bCs/>
          <w:sz w:val="32"/>
          <w:szCs w:val="32"/>
          <w:lang w:eastAsia="zh-CN"/>
        </w:rPr>
        <w:t>记分</w:t>
      </w:r>
      <w:r>
        <w:rPr>
          <w:rFonts w:hint="eastAsia" w:ascii="仿宋_GB2312" w:hAnsi="仿宋_GB2312" w:eastAsia="仿宋_GB2312" w:cs="仿宋_GB2312"/>
          <w:bCs/>
          <w:sz w:val="32"/>
          <w:szCs w:val="32"/>
        </w:rPr>
        <w:t>。</w:t>
      </w:r>
    </w:p>
    <w:p w14:paraId="58EF8496">
      <w:pPr>
        <w:keepNext w:val="0"/>
        <w:keepLines w:val="0"/>
        <w:pageBreakBefore w:val="0"/>
        <w:numPr>
          <w:ilvl w:val="0"/>
          <w:numId w:val="0"/>
        </w:numPr>
        <w:kinsoku/>
        <w:wordWrap/>
        <w:overflowPunct w:val="0"/>
        <w:topLinePunct w:val="0"/>
        <w:autoSpaceDE/>
        <w:bidi w:val="0"/>
        <w:adjustRightInd/>
        <w:spacing w:line="560" w:lineRule="exact"/>
        <w:ind w:right="0" w:rightChars="0" w:firstLine="2880" w:firstLineChars="900"/>
        <w:jc w:val="both"/>
        <w:textAlignment w:val="auto"/>
        <w:rPr>
          <w:rFonts w:hint="eastAsia" w:ascii="黑体" w:hAnsi="黑体" w:eastAsia="黑体"/>
          <w:sz w:val="32"/>
          <w:lang w:eastAsia="zh-CN"/>
        </w:rPr>
      </w:pPr>
      <w:r>
        <w:rPr>
          <w:rFonts w:hint="eastAsia" w:ascii="黑体" w:hAnsi="黑体" w:eastAsia="黑体"/>
          <w:sz w:val="32"/>
          <w:lang w:eastAsia="zh-CN"/>
        </w:rPr>
        <w:t>第五章</w:t>
      </w:r>
      <w:r>
        <w:rPr>
          <w:rFonts w:hint="eastAsia" w:ascii="黑体" w:hAnsi="黑体" w:eastAsia="黑体"/>
          <w:sz w:val="32"/>
          <w:lang w:val="en-US" w:eastAsia="zh-CN"/>
        </w:rPr>
        <w:t xml:space="preserve"> 代</w:t>
      </w:r>
      <w:r>
        <w:rPr>
          <w:rFonts w:hint="eastAsia" w:ascii="黑体" w:hAnsi="黑体" w:eastAsia="黑体"/>
          <w:sz w:val="32"/>
          <w:lang w:eastAsia="zh-CN"/>
        </w:rPr>
        <w:t>理机构监督检查</w:t>
      </w:r>
    </w:p>
    <w:p w14:paraId="733C1162">
      <w:pPr>
        <w:keepNext w:val="0"/>
        <w:keepLines w:val="0"/>
        <w:pageBreakBefore w:val="0"/>
        <w:kinsoku/>
        <w:wordWrap/>
        <w:topLinePunct w:val="0"/>
        <w:autoSpaceDE/>
        <w:bidi w:val="0"/>
        <w:adjustRightInd/>
        <w:spacing w:line="560" w:lineRule="exact"/>
        <w:ind w:firstLine="640" w:firstLineChars="200"/>
        <w:rPr>
          <w:rFonts w:ascii="仿宋_GB2312" w:eastAsia="仿宋_GB2312"/>
          <w:sz w:val="32"/>
          <w:szCs w:val="32"/>
        </w:rPr>
      </w:pPr>
      <w:r>
        <w:rPr>
          <w:rFonts w:hint="eastAsia" w:ascii="黑体" w:hAnsi="黑体" w:eastAsia="黑体"/>
          <w:sz w:val="32"/>
          <w:lang w:eastAsia="zh-CN"/>
        </w:rPr>
        <w:t>第二十九条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省级财政部门统筹负责本省的代理机构监督检查，并</w:t>
      </w:r>
      <w:r>
        <w:rPr>
          <w:rFonts w:ascii="仿宋_GB2312" w:eastAsia="仿宋_GB2312"/>
          <w:sz w:val="32"/>
          <w:szCs w:val="32"/>
        </w:rPr>
        <w:t>负责</w:t>
      </w:r>
      <w:r>
        <w:rPr>
          <w:rFonts w:hint="eastAsia" w:ascii="仿宋_GB2312" w:eastAsia="仿宋_GB2312"/>
          <w:sz w:val="32"/>
          <w:szCs w:val="32"/>
        </w:rPr>
        <w:t>对代理省级政府采购项目的代理机构实施检查。</w:t>
      </w:r>
    </w:p>
    <w:p w14:paraId="7DEF7D25">
      <w:pPr>
        <w:keepNext w:val="0"/>
        <w:keepLines w:val="0"/>
        <w:pageBreakBefore w:val="0"/>
        <w:kinsoku/>
        <w:wordWrap/>
        <w:topLinePunct w:val="0"/>
        <w:autoSpaceDE/>
        <w:bidi w:val="0"/>
        <w:adjustRightInd/>
        <w:spacing w:line="560" w:lineRule="exact"/>
        <w:ind w:leftChars="0" w:firstLine="640" w:firstLineChars="200"/>
        <w:rPr>
          <w:rFonts w:ascii="仿宋_GB2312" w:eastAsia="仿宋_GB2312"/>
          <w:sz w:val="32"/>
          <w:szCs w:val="32"/>
        </w:rPr>
      </w:pPr>
      <w:bookmarkStart w:id="1" w:name="OLE_LINK2"/>
      <w:bookmarkStart w:id="2" w:name="OLE_LINK6"/>
      <w:r>
        <w:rPr>
          <w:rFonts w:hint="eastAsia" w:ascii="仿宋_GB2312" w:eastAsia="仿宋_GB2312"/>
          <w:sz w:val="32"/>
          <w:szCs w:val="32"/>
        </w:rPr>
        <w:t>市</w:t>
      </w:r>
      <w:r>
        <w:rPr>
          <w:rFonts w:ascii="仿宋_GB2312" w:eastAsia="仿宋_GB2312"/>
          <w:sz w:val="32"/>
          <w:szCs w:val="32"/>
        </w:rPr>
        <w:t>（</w:t>
      </w:r>
      <w:r>
        <w:rPr>
          <w:rFonts w:hint="eastAsia" w:ascii="仿宋_GB2312" w:eastAsia="仿宋_GB2312"/>
          <w:sz w:val="32"/>
          <w:szCs w:val="32"/>
        </w:rPr>
        <w:t>州</w:t>
      </w:r>
      <w:r>
        <w:rPr>
          <w:rFonts w:ascii="仿宋_GB2312" w:eastAsia="仿宋_GB2312"/>
          <w:sz w:val="32"/>
          <w:szCs w:val="32"/>
        </w:rPr>
        <w:t>）</w:t>
      </w:r>
      <w:r>
        <w:rPr>
          <w:rFonts w:hint="eastAsia" w:ascii="仿宋_GB2312" w:eastAsia="仿宋_GB2312"/>
          <w:sz w:val="32"/>
          <w:szCs w:val="32"/>
        </w:rPr>
        <w:t>、县（区）</w:t>
      </w:r>
      <w:bookmarkEnd w:id="1"/>
      <w:bookmarkEnd w:id="2"/>
      <w:r>
        <w:rPr>
          <w:rFonts w:hint="eastAsia" w:ascii="仿宋_GB2312" w:eastAsia="仿宋_GB2312"/>
          <w:sz w:val="32"/>
          <w:szCs w:val="32"/>
        </w:rPr>
        <w:t>财政部门负责对代理本级政府采购项目的代理机构实施检查。</w:t>
      </w:r>
    </w:p>
    <w:p w14:paraId="7010CFF5">
      <w:pPr>
        <w:keepNext w:val="0"/>
        <w:keepLines w:val="0"/>
        <w:pageBreakBefore w:val="0"/>
        <w:kinsoku/>
        <w:wordWrap/>
        <w:topLinePunct w:val="0"/>
        <w:autoSpaceDE/>
        <w:bidi w:val="0"/>
        <w:adjustRightInd/>
        <w:spacing w:line="560" w:lineRule="exact"/>
        <w:ind w:leftChars="0" w:firstLine="640" w:firstLineChars="200"/>
        <w:rPr>
          <w:rFonts w:ascii="仿宋_GB2312" w:eastAsia="仿宋_GB2312"/>
          <w:sz w:val="32"/>
          <w:szCs w:val="32"/>
        </w:rPr>
      </w:pPr>
      <w:r>
        <w:rPr>
          <w:rFonts w:hint="eastAsia" w:ascii="黑体" w:hAnsi="黑体" w:eastAsia="黑体"/>
          <w:sz w:val="32"/>
          <w:lang w:eastAsia="zh-CN"/>
        </w:rPr>
        <w:t xml:space="preserve">第三十条 </w:t>
      </w:r>
      <w:r>
        <w:rPr>
          <w:rFonts w:hint="eastAsia" w:ascii="黑体" w:hAnsi="黑体" w:eastAsia="黑体"/>
          <w:sz w:val="32"/>
          <w:lang w:val="en-US" w:eastAsia="zh-CN"/>
        </w:rPr>
        <w:t xml:space="preserve"> </w:t>
      </w:r>
      <w:r>
        <w:rPr>
          <w:rFonts w:hint="eastAsia" w:ascii="仿宋_GB2312" w:eastAsia="仿宋_GB2312"/>
          <w:sz w:val="32"/>
          <w:szCs w:val="32"/>
        </w:rPr>
        <w:t>各级</w:t>
      </w:r>
      <w:r>
        <w:rPr>
          <w:rFonts w:ascii="仿宋_GB2312" w:eastAsia="仿宋_GB2312"/>
          <w:sz w:val="32"/>
          <w:szCs w:val="32"/>
        </w:rPr>
        <w:t>财政部门</w:t>
      </w:r>
      <w:r>
        <w:rPr>
          <w:rFonts w:hint="eastAsia" w:ascii="仿宋_GB2312" w:eastAsia="仿宋_GB2312"/>
          <w:sz w:val="32"/>
          <w:szCs w:val="32"/>
        </w:rPr>
        <w:t>对代理机构采取专项监督检查和日常监管相结合的方式开展</w:t>
      </w:r>
      <w:r>
        <w:rPr>
          <w:rFonts w:ascii="仿宋_GB2312" w:eastAsia="仿宋_GB2312"/>
          <w:sz w:val="32"/>
          <w:szCs w:val="32"/>
        </w:rPr>
        <w:t>监督检查</w:t>
      </w:r>
      <w:r>
        <w:rPr>
          <w:rFonts w:hint="eastAsia" w:ascii="仿宋_GB2312" w:eastAsia="仿宋_GB2312"/>
          <w:sz w:val="32"/>
          <w:szCs w:val="32"/>
        </w:rPr>
        <w:t>。专项检查由省级财政部门按照</w:t>
      </w:r>
      <w:r>
        <w:rPr>
          <w:rFonts w:ascii="仿宋_GB2312" w:eastAsia="仿宋_GB2312"/>
          <w:sz w:val="32"/>
          <w:szCs w:val="32"/>
        </w:rPr>
        <w:t>财政部要求</w:t>
      </w:r>
      <w:r>
        <w:rPr>
          <w:rFonts w:hint="eastAsia" w:ascii="仿宋_GB2312" w:eastAsia="仿宋_GB2312"/>
          <w:sz w:val="32"/>
          <w:szCs w:val="32"/>
        </w:rPr>
        <w:t>统一组织实施，制定对代理机构监督检查的具体实施方案，开展检查工作。日常监管主要包括各级财政部门督促代理机构依法开展采购活动；制止、纠正违法违规行为；受理举报、投诉；对有违法违规行为的代理机构依法作出处理处罚决定</w:t>
      </w:r>
      <w:r>
        <w:rPr>
          <w:rFonts w:hint="eastAsia" w:ascii="仿宋_GB2312" w:eastAsia="仿宋_GB2312"/>
          <w:sz w:val="32"/>
          <w:szCs w:val="32"/>
          <w:lang w:eastAsia="zh-CN"/>
        </w:rPr>
        <w:t>等</w:t>
      </w:r>
      <w:r>
        <w:rPr>
          <w:rFonts w:hint="eastAsia" w:ascii="仿宋_GB2312" w:eastAsia="仿宋_GB2312"/>
          <w:sz w:val="32"/>
          <w:szCs w:val="32"/>
        </w:rPr>
        <w:t>。</w:t>
      </w:r>
    </w:p>
    <w:p w14:paraId="0714FDD5">
      <w:pPr>
        <w:keepNext w:val="0"/>
        <w:keepLines w:val="0"/>
        <w:pageBreakBefore w:val="0"/>
        <w:kinsoku/>
        <w:wordWrap/>
        <w:topLinePunct w:val="0"/>
        <w:autoSpaceDE/>
        <w:bidi w:val="0"/>
        <w:adjustRightInd/>
        <w:spacing w:line="560" w:lineRule="exact"/>
        <w:ind w:leftChars="0" w:firstLine="640" w:firstLineChars="200"/>
        <w:rPr>
          <w:rFonts w:ascii="仿宋_GB2312" w:eastAsia="仿宋_GB2312"/>
          <w:sz w:val="32"/>
          <w:szCs w:val="32"/>
        </w:rPr>
      </w:pPr>
      <w:r>
        <w:rPr>
          <w:rFonts w:hint="eastAsia" w:ascii="黑体" w:hAnsi="黑体" w:eastAsia="黑体"/>
          <w:sz w:val="32"/>
          <w:lang w:eastAsia="zh-CN"/>
        </w:rPr>
        <w:t>第三十一条</w:t>
      </w:r>
      <w:r>
        <w:rPr>
          <w:rFonts w:hint="eastAsia" w:ascii="黑体" w:hAnsi="黑体" w:eastAsia="黑体"/>
          <w:sz w:val="32"/>
          <w:lang w:val="en-US" w:eastAsia="zh-CN"/>
        </w:rPr>
        <w:t xml:space="preserve">  </w:t>
      </w:r>
      <w:r>
        <w:rPr>
          <w:rFonts w:hint="eastAsia" w:ascii="仿宋_GB2312" w:eastAsia="仿宋_GB2312"/>
          <w:sz w:val="32"/>
          <w:szCs w:val="32"/>
        </w:rPr>
        <w:t>财政部门对代理机构的监督检查包括以下内容:</w:t>
      </w:r>
    </w:p>
    <w:p w14:paraId="1B68B7FB">
      <w:pPr>
        <w:keepNext w:val="0"/>
        <w:keepLines w:val="0"/>
        <w:pageBreakBefore w:val="0"/>
        <w:kinsoku/>
        <w:wordWrap/>
        <w:topLinePunct w:val="0"/>
        <w:autoSpaceDE/>
        <w:bidi w:val="0"/>
        <w:adjustRightInd/>
        <w:spacing w:line="560" w:lineRule="exact"/>
        <w:ind w:leftChars="0" w:firstLine="640" w:firstLineChars="200"/>
        <w:rPr>
          <w:rFonts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代理机构名录登记信息：</w:t>
      </w:r>
      <w:r>
        <w:rPr>
          <w:rFonts w:hint="eastAsia" w:ascii="仿宋_GB2312" w:eastAsia="仿宋_GB2312"/>
          <w:sz w:val="32"/>
          <w:szCs w:val="32"/>
        </w:rPr>
        <w:t>代理机构基本信息的真实性、准确性</w:t>
      </w:r>
      <w:r>
        <w:rPr>
          <w:rFonts w:hint="eastAsia" w:ascii="仿宋_GB2312" w:eastAsia="仿宋_GB2312"/>
          <w:sz w:val="32"/>
          <w:szCs w:val="32"/>
          <w:lang w:eastAsia="zh-CN"/>
        </w:rPr>
        <w:t>；</w:t>
      </w:r>
      <w:r>
        <w:rPr>
          <w:rFonts w:hint="eastAsia" w:ascii="仿宋_GB2312" w:eastAsia="仿宋_GB2312"/>
          <w:sz w:val="32"/>
          <w:szCs w:val="32"/>
        </w:rPr>
        <w:t>办公场所、</w:t>
      </w:r>
      <w:r>
        <w:rPr>
          <w:rFonts w:ascii="仿宋_GB2312" w:eastAsia="仿宋_GB2312"/>
          <w:sz w:val="32"/>
          <w:szCs w:val="32"/>
        </w:rPr>
        <w:t>评审场所及</w:t>
      </w:r>
      <w:r>
        <w:rPr>
          <w:rFonts w:hint="eastAsia" w:ascii="仿宋_GB2312" w:eastAsia="仿宋_GB2312"/>
          <w:sz w:val="32"/>
          <w:szCs w:val="32"/>
        </w:rPr>
        <w:t>监控</w:t>
      </w:r>
      <w:r>
        <w:rPr>
          <w:rFonts w:ascii="仿宋_GB2312" w:eastAsia="仿宋_GB2312"/>
          <w:sz w:val="32"/>
          <w:szCs w:val="32"/>
        </w:rPr>
        <w:t>设备</w:t>
      </w:r>
      <w:r>
        <w:rPr>
          <w:rFonts w:hint="eastAsia" w:ascii="仿宋_GB2312" w:eastAsia="仿宋_GB2312"/>
          <w:sz w:val="32"/>
          <w:szCs w:val="32"/>
          <w:lang w:eastAsia="zh-CN"/>
        </w:rPr>
        <w:t>是否满足代理机构从业要求</w:t>
      </w:r>
      <w:r>
        <w:rPr>
          <w:rFonts w:hint="eastAsia" w:ascii="仿宋_GB2312" w:eastAsia="仿宋_GB2312"/>
          <w:sz w:val="32"/>
          <w:szCs w:val="32"/>
        </w:rPr>
        <w:t>；专职从业人员数量及专业化、参加教育培训情况、遵守职业道德和廉洁自律情况等；政府采购</w:t>
      </w:r>
      <w:r>
        <w:rPr>
          <w:rFonts w:ascii="仿宋_GB2312" w:eastAsia="仿宋_GB2312"/>
          <w:sz w:val="32"/>
          <w:szCs w:val="32"/>
        </w:rPr>
        <w:t>内部监督管理</w:t>
      </w:r>
      <w:r>
        <w:rPr>
          <w:rFonts w:hint="eastAsia" w:ascii="仿宋_GB2312" w:eastAsia="仿宋_GB2312"/>
          <w:sz w:val="32"/>
          <w:szCs w:val="32"/>
        </w:rPr>
        <w:t>制度建设与执行情况；</w:t>
      </w:r>
    </w:p>
    <w:p w14:paraId="767FCD8D">
      <w:pPr>
        <w:keepNext w:val="0"/>
        <w:keepLines w:val="0"/>
        <w:pageBreakBefore w:val="0"/>
        <w:kinsoku/>
        <w:wordWrap/>
        <w:topLinePunct w:val="0"/>
        <w:autoSpaceDE/>
        <w:bidi w:val="0"/>
        <w:adjustRightInd/>
        <w:spacing w:line="560" w:lineRule="exact"/>
        <w:ind w:leftChars="0"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）业务开展情况。包括委托代理协议的签订和执行、采购文件编制、采购方式与</w:t>
      </w:r>
      <w:r>
        <w:rPr>
          <w:rFonts w:ascii="仿宋_GB2312" w:eastAsia="仿宋_GB2312"/>
          <w:sz w:val="32"/>
          <w:szCs w:val="32"/>
        </w:rPr>
        <w:t>程序、</w:t>
      </w:r>
      <w:r>
        <w:rPr>
          <w:rFonts w:hint="eastAsia" w:ascii="仿宋_GB2312" w:eastAsia="仿宋_GB2312"/>
          <w:sz w:val="32"/>
          <w:szCs w:val="32"/>
        </w:rPr>
        <w:t>评审专家抽取、采购现场组织、采购结果确定、中标（成交）</w:t>
      </w:r>
      <w:r>
        <w:rPr>
          <w:rFonts w:ascii="仿宋_GB2312" w:eastAsia="仿宋_GB2312"/>
          <w:sz w:val="32"/>
          <w:szCs w:val="32"/>
        </w:rPr>
        <w:t>通知书</w:t>
      </w:r>
      <w:r>
        <w:rPr>
          <w:rFonts w:hint="eastAsia" w:ascii="仿宋_GB2312" w:eastAsia="仿宋_GB2312"/>
          <w:sz w:val="32"/>
          <w:szCs w:val="32"/>
        </w:rPr>
        <w:t>发出、合同备案、信息公告、质疑答复、档案管理等情况；</w:t>
      </w:r>
    </w:p>
    <w:p w14:paraId="372BDD9A">
      <w:pPr>
        <w:keepNext w:val="0"/>
        <w:keepLines w:val="0"/>
        <w:pageBreakBefore w:val="0"/>
        <w:kinsoku/>
        <w:wordWrap/>
        <w:topLinePunct w:val="0"/>
        <w:autoSpaceDE/>
        <w:bidi w:val="0"/>
        <w:adjustRightInd/>
        <w:spacing w:line="560" w:lineRule="exact"/>
        <w:ind w:leftChars="0"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）其他政府采购从业情况。</w:t>
      </w:r>
    </w:p>
    <w:p w14:paraId="55EFD54A">
      <w:pPr>
        <w:keepNext w:val="0"/>
        <w:keepLines w:val="0"/>
        <w:pageBreakBefore w:val="0"/>
        <w:kinsoku/>
        <w:wordWrap/>
        <w:topLinePunct w:val="0"/>
        <w:autoSpaceDE/>
        <w:bidi w:val="0"/>
        <w:adjustRightInd/>
        <w:spacing w:line="560" w:lineRule="exact"/>
        <w:ind w:leftChars="0" w:firstLine="640" w:firstLineChars="200"/>
        <w:rPr>
          <w:rFonts w:hint="eastAsia" w:ascii="仿宋_GB2312" w:eastAsia="仿宋_GB2312"/>
          <w:sz w:val="32"/>
          <w:szCs w:val="32"/>
          <w:lang w:val="en-US" w:eastAsia="zh-CN"/>
        </w:rPr>
      </w:pPr>
      <w:r>
        <w:rPr>
          <w:rFonts w:hint="eastAsia" w:ascii="黑体" w:hAnsi="黑体" w:eastAsia="黑体"/>
          <w:sz w:val="32"/>
          <w:lang w:eastAsia="zh-CN"/>
        </w:rPr>
        <w:t>第三十二条</w:t>
      </w:r>
      <w:r>
        <w:rPr>
          <w:rFonts w:hint="eastAsia" w:ascii="仿宋_GB2312" w:eastAsia="仿宋_GB2312"/>
          <w:sz w:val="32"/>
          <w:szCs w:val="32"/>
        </w:rPr>
        <w:t xml:space="preserve"> 财政部门应当在检查前向代理机构送达检查通知，</w:t>
      </w:r>
      <w:r>
        <w:rPr>
          <w:rFonts w:hint="eastAsia" w:ascii="仿宋_GB2312" w:eastAsia="仿宋_GB2312"/>
          <w:sz w:val="32"/>
          <w:szCs w:val="32"/>
          <w:lang w:eastAsia="zh-CN"/>
        </w:rPr>
        <w:t>代理机构自收到检查通知书之日起</w:t>
      </w:r>
      <w:r>
        <w:rPr>
          <w:rFonts w:hint="eastAsia" w:ascii="仿宋_GB2312" w:eastAsia="仿宋_GB2312"/>
          <w:sz w:val="32"/>
          <w:szCs w:val="32"/>
          <w:lang w:val="en-US" w:eastAsia="zh-CN"/>
        </w:rPr>
        <w:t>5个工作日内，按要求报送检查资料。</w:t>
      </w:r>
    </w:p>
    <w:p w14:paraId="0A08E4D6">
      <w:pPr>
        <w:keepNext w:val="0"/>
        <w:keepLines w:val="0"/>
        <w:pageBreakBefore w:val="0"/>
        <w:kinsoku/>
        <w:wordWrap/>
        <w:topLinePunct w:val="0"/>
        <w:autoSpaceDE/>
        <w:bidi w:val="0"/>
        <w:adjustRightInd/>
        <w:spacing w:line="560" w:lineRule="exact"/>
        <w:ind w:leftChars="0" w:firstLine="640" w:firstLineChars="200"/>
        <w:rPr>
          <w:rFonts w:ascii="仿宋_GB2312" w:eastAsia="仿宋_GB2312"/>
          <w:sz w:val="32"/>
          <w:szCs w:val="32"/>
        </w:rPr>
      </w:pPr>
      <w:r>
        <w:rPr>
          <w:rFonts w:hint="eastAsia" w:ascii="仿宋_GB2312" w:eastAsia="仿宋_GB2312"/>
          <w:sz w:val="32"/>
          <w:szCs w:val="32"/>
          <w:lang w:eastAsia="zh-CN"/>
        </w:rPr>
        <w:t>财政部门监督检查</w:t>
      </w:r>
      <w:r>
        <w:rPr>
          <w:rFonts w:hint="eastAsia" w:ascii="仿宋_GB2312" w:eastAsia="仿宋_GB2312"/>
          <w:sz w:val="32"/>
          <w:szCs w:val="32"/>
        </w:rPr>
        <w:t>可采取抽取项目、自行检查、书面审查、现场检查等方式实施检查。</w:t>
      </w:r>
    </w:p>
    <w:p w14:paraId="3451956B">
      <w:pPr>
        <w:keepNext w:val="0"/>
        <w:keepLines w:val="0"/>
        <w:pageBreakBefore w:val="0"/>
        <w:kinsoku/>
        <w:wordWrap/>
        <w:topLinePunct w:val="0"/>
        <w:autoSpaceDE/>
        <w:bidi w:val="0"/>
        <w:adjustRightInd/>
        <w:spacing w:line="560" w:lineRule="exact"/>
        <w:ind w:leftChars="0" w:firstLine="640" w:firstLineChars="200"/>
        <w:rPr>
          <w:rFonts w:ascii="仿宋_GB2312" w:eastAsia="仿宋_GB2312"/>
          <w:sz w:val="32"/>
          <w:szCs w:val="32"/>
        </w:rPr>
      </w:pPr>
      <w:r>
        <w:rPr>
          <w:rFonts w:hint="eastAsia" w:ascii="仿宋_GB2312" w:eastAsia="仿宋_GB2312"/>
          <w:sz w:val="32"/>
          <w:szCs w:val="32"/>
        </w:rPr>
        <w:t>代理机构应当积极配合财政部门依法实施的监督检查，如实提供被检查项目相关资料，不得拒绝、拖延、阻挠、逃避检查，不得转移、隐匿、销毁相关证据材料。</w:t>
      </w:r>
    </w:p>
    <w:p w14:paraId="6B66B8D7">
      <w:pPr>
        <w:keepNext w:val="0"/>
        <w:keepLines w:val="0"/>
        <w:pageBreakBefore w:val="0"/>
        <w:kinsoku/>
        <w:wordWrap/>
        <w:topLinePunct w:val="0"/>
        <w:autoSpaceDE/>
        <w:bidi w:val="0"/>
        <w:adjustRightInd/>
        <w:spacing w:line="560" w:lineRule="exact"/>
        <w:ind w:leftChars="0" w:firstLine="640" w:firstLineChars="200"/>
        <w:rPr>
          <w:rFonts w:ascii="仿宋_GB2312" w:eastAsia="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三十三</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eastAsia="仿宋_GB2312"/>
          <w:sz w:val="32"/>
          <w:szCs w:val="32"/>
        </w:rPr>
        <w:t>财政部门对代理机构实施监督的结果应通过</w:t>
      </w:r>
      <w:r>
        <w:rPr>
          <w:rFonts w:hint="eastAsia" w:ascii="仿宋_GB2312" w:eastAsia="仿宋_GB2312"/>
          <w:sz w:val="32"/>
          <w:szCs w:val="32"/>
          <w:lang w:eastAsia="zh-CN"/>
        </w:rPr>
        <w:t>青海</w:t>
      </w:r>
      <w:r>
        <w:rPr>
          <w:rFonts w:hint="eastAsia" w:ascii="仿宋_GB2312" w:eastAsia="仿宋_GB2312"/>
          <w:sz w:val="32"/>
          <w:szCs w:val="32"/>
        </w:rPr>
        <w:t>政府采购网向社会公开。</w:t>
      </w:r>
    </w:p>
    <w:p w14:paraId="6E19FA35">
      <w:pPr>
        <w:keepNext w:val="0"/>
        <w:keepLines w:val="0"/>
        <w:pageBreakBefore w:val="0"/>
        <w:kinsoku/>
        <w:wordWrap/>
        <w:topLinePunct w:val="0"/>
        <w:autoSpaceDE/>
        <w:bidi w:val="0"/>
        <w:adjustRightInd/>
        <w:spacing w:line="560" w:lineRule="exact"/>
        <w:ind w:leftChars="0" w:firstLine="640" w:firstLineChars="200"/>
        <w:rPr>
          <w:rFonts w:hint="eastAsia" w:ascii="仿宋_GB2312" w:eastAsia="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三十四</w:t>
      </w:r>
      <w:r>
        <w:rPr>
          <w:rFonts w:hint="eastAsia" w:ascii="黑体" w:hAnsi="黑体" w:eastAsia="黑体" w:cs="黑体"/>
          <w:sz w:val="32"/>
          <w:szCs w:val="32"/>
        </w:rPr>
        <w:t xml:space="preserve">条 </w:t>
      </w:r>
      <w:r>
        <w:rPr>
          <w:rFonts w:hint="eastAsia" w:ascii="仿宋_GB2312" w:eastAsia="仿宋_GB2312"/>
          <w:sz w:val="32"/>
          <w:szCs w:val="32"/>
          <w:lang w:val="en-US" w:eastAsia="zh-CN"/>
        </w:rPr>
        <w:t xml:space="preserve"> </w:t>
      </w:r>
      <w:r>
        <w:rPr>
          <w:rFonts w:hint="eastAsia" w:ascii="仿宋_GB2312" w:eastAsia="仿宋_GB2312"/>
          <w:sz w:val="32"/>
          <w:szCs w:val="32"/>
        </w:rPr>
        <w:t>财政部门应</w:t>
      </w:r>
      <w:r>
        <w:rPr>
          <w:rFonts w:hint="eastAsia" w:ascii="仿宋_GB2312" w:eastAsia="仿宋_GB2312"/>
          <w:sz w:val="32"/>
          <w:szCs w:val="32"/>
          <w:lang w:eastAsia="zh-CN"/>
        </w:rPr>
        <w:t>当</w:t>
      </w:r>
      <w:r>
        <w:rPr>
          <w:rFonts w:hint="eastAsia" w:ascii="仿宋_GB2312" w:eastAsia="仿宋_GB2312"/>
          <w:sz w:val="32"/>
          <w:szCs w:val="32"/>
        </w:rPr>
        <w:t>加强对代理机构</w:t>
      </w:r>
      <w:r>
        <w:rPr>
          <w:rFonts w:hint="eastAsia" w:ascii="仿宋_GB2312" w:eastAsia="仿宋_GB2312"/>
          <w:sz w:val="32"/>
          <w:szCs w:val="32"/>
          <w:lang w:eastAsia="zh-CN"/>
        </w:rPr>
        <w:t>的</w:t>
      </w:r>
      <w:r>
        <w:rPr>
          <w:rFonts w:ascii="仿宋_GB2312" w:eastAsia="仿宋_GB2312"/>
          <w:sz w:val="32"/>
          <w:szCs w:val="32"/>
        </w:rPr>
        <w:t>监督检查</w:t>
      </w:r>
      <w:r>
        <w:rPr>
          <w:rFonts w:hint="eastAsia" w:ascii="仿宋_GB2312" w:eastAsia="仿宋_GB2312"/>
          <w:sz w:val="32"/>
          <w:szCs w:val="32"/>
        </w:rPr>
        <w:t>，将</w:t>
      </w:r>
      <w:r>
        <w:rPr>
          <w:rFonts w:hint="eastAsia" w:ascii="仿宋_GB2312" w:eastAsia="仿宋_GB2312"/>
          <w:sz w:val="32"/>
          <w:szCs w:val="32"/>
          <w:lang w:eastAsia="zh-CN"/>
        </w:rPr>
        <w:t>记分、处罚结果</w:t>
      </w:r>
      <w:r>
        <w:rPr>
          <w:rFonts w:hint="eastAsia" w:ascii="仿宋_GB2312" w:eastAsia="仿宋_GB2312"/>
          <w:sz w:val="32"/>
          <w:szCs w:val="32"/>
        </w:rPr>
        <w:t>作为</w:t>
      </w:r>
      <w:r>
        <w:rPr>
          <w:rFonts w:hint="eastAsia" w:ascii="仿宋_GB2312" w:eastAsia="仿宋_GB2312"/>
          <w:sz w:val="32"/>
          <w:szCs w:val="32"/>
          <w:lang w:eastAsia="zh-CN"/>
        </w:rPr>
        <w:t>开展监督检查</w:t>
      </w:r>
      <w:r>
        <w:rPr>
          <w:rFonts w:hint="eastAsia" w:ascii="仿宋_GB2312" w:eastAsia="仿宋_GB2312"/>
          <w:sz w:val="32"/>
          <w:szCs w:val="32"/>
        </w:rPr>
        <w:t>的参考依据。</w:t>
      </w:r>
    </w:p>
    <w:p w14:paraId="6D0A1797">
      <w:pPr>
        <w:keepNext w:val="0"/>
        <w:keepLines w:val="0"/>
        <w:pageBreakBefore w:val="0"/>
        <w:kinsoku/>
        <w:wordWrap/>
        <w:topLinePunct w:val="0"/>
        <w:autoSpaceDE/>
        <w:bidi w:val="0"/>
        <w:adjustRightInd/>
        <w:spacing w:line="560" w:lineRule="exact"/>
        <w:ind w:leftChars="0"/>
        <w:jc w:val="center"/>
        <w:rPr>
          <w:rFonts w:hint="eastAsia" w:ascii="黑体" w:hAnsi="黑体" w:eastAsia="黑体"/>
          <w:sz w:val="32"/>
          <w:szCs w:val="32"/>
          <w:lang w:eastAsia="zh-CN"/>
        </w:rPr>
      </w:pPr>
      <w:r>
        <w:rPr>
          <w:rFonts w:hint="eastAsia" w:ascii="黑体" w:hAnsi="黑体" w:eastAsia="黑体"/>
          <w:sz w:val="32"/>
          <w:szCs w:val="32"/>
        </w:rPr>
        <w:t>第</w:t>
      </w:r>
      <w:r>
        <w:rPr>
          <w:rFonts w:hint="eastAsia" w:ascii="黑体" w:hAnsi="黑体" w:eastAsia="黑体"/>
          <w:sz w:val="32"/>
          <w:szCs w:val="32"/>
          <w:lang w:eastAsia="zh-CN"/>
        </w:rPr>
        <w:t>六</w:t>
      </w:r>
      <w:r>
        <w:rPr>
          <w:rFonts w:hint="eastAsia" w:ascii="黑体" w:hAnsi="黑体" w:eastAsia="黑体"/>
          <w:sz w:val="32"/>
          <w:szCs w:val="32"/>
        </w:rPr>
        <w:t xml:space="preserve">章 </w:t>
      </w:r>
      <w:r>
        <w:rPr>
          <w:rFonts w:ascii="黑体" w:hAnsi="黑体" w:eastAsia="黑体"/>
          <w:sz w:val="32"/>
          <w:szCs w:val="32"/>
        </w:rPr>
        <w:t xml:space="preserve"> </w:t>
      </w:r>
      <w:r>
        <w:rPr>
          <w:rFonts w:hint="eastAsia" w:ascii="黑体" w:hAnsi="黑体" w:eastAsia="黑体"/>
          <w:sz w:val="32"/>
          <w:szCs w:val="32"/>
          <w:lang w:eastAsia="zh-CN"/>
        </w:rPr>
        <w:t>记分管理及监督检查结果运用</w:t>
      </w:r>
    </w:p>
    <w:p w14:paraId="138CE4C4">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default" w:ascii="仿宋_GB2312" w:hAnsi="仿宋_GB2312" w:eastAsia="仿宋_GB2312"/>
          <w:sz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三十五</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eastAsia="仿宋_GB2312"/>
          <w:sz w:val="32"/>
          <w:szCs w:val="32"/>
        </w:rPr>
        <w:t>采购人</w:t>
      </w:r>
      <w:r>
        <w:rPr>
          <w:rFonts w:ascii="仿宋_GB2312" w:eastAsia="仿宋_GB2312"/>
          <w:sz w:val="32"/>
          <w:szCs w:val="32"/>
        </w:rPr>
        <w:t>可</w:t>
      </w:r>
      <w:r>
        <w:rPr>
          <w:rFonts w:hint="eastAsia" w:ascii="仿宋_GB2312" w:eastAsia="仿宋_GB2312"/>
          <w:sz w:val="32"/>
          <w:szCs w:val="32"/>
        </w:rPr>
        <w:t>参考</w:t>
      </w:r>
      <w:r>
        <w:rPr>
          <w:rFonts w:ascii="仿宋_GB2312" w:eastAsia="仿宋_GB2312"/>
          <w:sz w:val="32"/>
          <w:szCs w:val="32"/>
        </w:rPr>
        <w:t>财政部门公布的</w:t>
      </w:r>
      <w:r>
        <w:rPr>
          <w:rFonts w:hint="eastAsia" w:ascii="仿宋_GB2312" w:eastAsia="仿宋_GB2312"/>
          <w:sz w:val="32"/>
          <w:szCs w:val="32"/>
          <w:lang w:eastAsia="zh-CN"/>
        </w:rPr>
        <w:t>记分情况和监督检查</w:t>
      </w:r>
      <w:r>
        <w:rPr>
          <w:rFonts w:hint="eastAsia" w:ascii="仿宋_GB2312" w:eastAsia="仿宋_GB2312"/>
          <w:sz w:val="32"/>
          <w:szCs w:val="32"/>
        </w:rPr>
        <w:t>结果</w:t>
      </w:r>
      <w:r>
        <w:rPr>
          <w:rFonts w:ascii="仿宋_GB2312" w:eastAsia="仿宋_GB2312"/>
          <w:sz w:val="32"/>
          <w:szCs w:val="32"/>
        </w:rPr>
        <w:t>，</w:t>
      </w:r>
      <w:r>
        <w:rPr>
          <w:rFonts w:hint="eastAsia" w:ascii="仿宋_GB2312" w:hAnsi="仿宋_GB2312" w:eastAsia="仿宋_GB2312"/>
          <w:sz w:val="32"/>
          <w:lang w:val="en-US" w:eastAsia="zh-CN"/>
        </w:rPr>
        <w:t>结合采购</w:t>
      </w:r>
      <w:r>
        <w:rPr>
          <w:rFonts w:hint="default" w:ascii="仿宋_GB2312" w:hAnsi="仿宋_GB2312" w:eastAsia="仿宋_GB2312"/>
          <w:sz w:val="32"/>
          <w:lang w:val="en-US" w:eastAsia="zh-CN"/>
        </w:rPr>
        <w:t>项目特点、代理机构专业领域</w:t>
      </w:r>
      <w:r>
        <w:rPr>
          <w:rFonts w:hint="eastAsia" w:ascii="仿宋_GB2312" w:hAnsi="仿宋_GB2312" w:eastAsia="仿宋_GB2312"/>
          <w:sz w:val="32"/>
          <w:lang w:val="en-US" w:eastAsia="zh-CN"/>
        </w:rPr>
        <w:t>，</w:t>
      </w:r>
      <w:r>
        <w:rPr>
          <w:rFonts w:hint="default" w:ascii="仿宋_GB2312" w:hAnsi="仿宋_GB2312" w:eastAsia="仿宋_GB2312"/>
          <w:sz w:val="32"/>
          <w:lang w:val="en-US" w:eastAsia="zh-CN"/>
        </w:rPr>
        <w:t>科学合理择优选择代理机构。</w:t>
      </w:r>
    </w:p>
    <w:p w14:paraId="0EBF457E">
      <w:pPr>
        <w:keepNext w:val="0"/>
        <w:keepLines w:val="0"/>
        <w:pageBreakBefore w:val="0"/>
        <w:kinsoku/>
        <w:wordWrap/>
        <w:overflowPunct w:val="0"/>
        <w:topLinePunct w:val="0"/>
        <w:autoSpaceDE/>
        <w:bidi w:val="0"/>
        <w:adjustRightInd/>
        <w:spacing w:line="540" w:lineRule="exact"/>
        <w:ind w:left="0" w:right="0" w:firstLine="615"/>
        <w:textAlignment w:val="auto"/>
        <w:rPr>
          <w:rFonts w:hint="default" w:ascii="仿宋_GB2312" w:hAnsi="仿宋_GB2312" w:eastAsia="仿宋_GB2312"/>
          <w:sz w:val="32"/>
          <w:lang w:val="en-US" w:eastAsia="zh-CN"/>
        </w:rPr>
      </w:pPr>
      <w:r>
        <w:rPr>
          <w:rFonts w:hint="eastAsia" w:ascii="仿宋_GB2312" w:hAnsi="仿宋_GB2312" w:eastAsia="仿宋_GB2312"/>
          <w:sz w:val="32"/>
        </w:rPr>
        <w:t>采购人</w:t>
      </w:r>
      <w:r>
        <w:rPr>
          <w:rFonts w:hint="eastAsia" w:ascii="仿宋_GB2312" w:hAnsi="仿宋_GB2312" w:eastAsia="仿宋_GB2312"/>
          <w:sz w:val="32"/>
          <w:lang w:eastAsia="zh-CN"/>
        </w:rPr>
        <w:t>需审慎</w:t>
      </w:r>
      <w:r>
        <w:rPr>
          <w:rFonts w:hint="eastAsia" w:ascii="仿宋_GB2312" w:hAnsi="仿宋_GB2312" w:eastAsia="仿宋_GB2312"/>
          <w:sz w:val="32"/>
        </w:rPr>
        <w:t>委托</w:t>
      </w:r>
      <w:r>
        <w:rPr>
          <w:rFonts w:hint="eastAsia" w:ascii="仿宋_GB2312" w:hAnsi="仿宋_GB2312" w:eastAsia="仿宋_GB2312"/>
          <w:sz w:val="32"/>
          <w:lang w:eastAsia="zh-CN"/>
        </w:rPr>
        <w:t>记分</w:t>
      </w:r>
      <w:r>
        <w:rPr>
          <w:rFonts w:hint="eastAsia" w:ascii="仿宋_GB2312" w:hAnsi="仿宋_GB2312" w:eastAsia="仿宋_GB2312"/>
          <w:sz w:val="32"/>
        </w:rPr>
        <w:t>整改期内的代理机构代理政府采购业务的。</w:t>
      </w:r>
    </w:p>
    <w:p w14:paraId="1D9F311D">
      <w:pPr>
        <w:keepNext w:val="0"/>
        <w:keepLines w:val="0"/>
        <w:pageBreakBefore w:val="0"/>
        <w:kinsoku/>
        <w:wordWrap/>
        <w:topLinePunct w:val="0"/>
        <w:autoSpaceDE/>
        <w:bidi w:val="0"/>
        <w:adjustRightInd/>
        <w:spacing w:line="560" w:lineRule="exact"/>
        <w:ind w:leftChars="0" w:firstLine="640" w:firstLineChars="200"/>
        <w:rPr>
          <w:rFonts w:hint="eastAsia" w:ascii="仿宋_GB2312" w:hAnsi="黑体" w:eastAsia="仿宋_GB2312"/>
          <w:sz w:val="32"/>
          <w:szCs w:val="32"/>
          <w:lang w:eastAsia="zh-CN"/>
        </w:rPr>
      </w:pPr>
      <w:r>
        <w:rPr>
          <w:rFonts w:hint="eastAsia" w:ascii="黑体" w:hAnsi="黑体" w:eastAsia="黑体" w:cs="黑体"/>
          <w:b w:val="0"/>
          <w:bCs w:val="0"/>
          <w:sz w:val="32"/>
          <w:szCs w:val="32"/>
        </w:rPr>
        <w:t>第三十</w:t>
      </w: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条</w:t>
      </w:r>
      <w:r>
        <w:rPr>
          <w:rFonts w:hint="eastAsia" w:ascii="仿宋_GB2312" w:eastAsia="仿宋_GB2312"/>
          <w:sz w:val="32"/>
          <w:szCs w:val="32"/>
        </w:rPr>
        <w:t xml:space="preserve"> </w:t>
      </w:r>
      <w:r>
        <w:rPr>
          <w:rFonts w:hint="eastAsia" w:ascii="仿宋_GB2312" w:hAnsi="黑体" w:eastAsia="仿宋_GB2312"/>
          <w:sz w:val="32"/>
          <w:szCs w:val="32"/>
        </w:rPr>
        <w:t>财政部门在代理机构</w:t>
      </w:r>
      <w:r>
        <w:rPr>
          <w:rFonts w:hint="eastAsia" w:ascii="仿宋_GB2312" w:hAnsi="黑体" w:eastAsia="仿宋_GB2312"/>
          <w:sz w:val="32"/>
          <w:szCs w:val="32"/>
          <w:lang w:eastAsia="zh-CN"/>
        </w:rPr>
        <w:t>记分管理和</w:t>
      </w:r>
      <w:r>
        <w:rPr>
          <w:rFonts w:hint="eastAsia" w:ascii="仿宋_GB2312" w:hAnsi="黑体" w:eastAsia="仿宋_GB2312"/>
          <w:sz w:val="32"/>
          <w:szCs w:val="32"/>
        </w:rPr>
        <w:t>监督检查过程中发现代理机构的违法违规行为，需要行政处罚的，按照政府采购相关法律、法规和规章的规定行政处罚</w:t>
      </w:r>
      <w:r>
        <w:rPr>
          <w:rFonts w:hint="eastAsia" w:ascii="仿宋_GB2312" w:hAnsi="黑体" w:eastAsia="仿宋_GB2312"/>
          <w:sz w:val="32"/>
          <w:szCs w:val="32"/>
          <w:lang w:eastAsia="zh-CN"/>
        </w:rPr>
        <w:t>；</w:t>
      </w:r>
      <w:r>
        <w:rPr>
          <w:rFonts w:hint="eastAsia" w:ascii="仿宋_GB2312" w:hAnsi="黑体" w:eastAsia="仿宋_GB2312"/>
          <w:sz w:val="32"/>
          <w:szCs w:val="32"/>
        </w:rPr>
        <w:t>涉嫌犯罪的，依法移送司法机关处理。</w:t>
      </w:r>
      <w:r>
        <w:rPr>
          <w:rFonts w:hint="eastAsia" w:ascii="仿宋_GB2312" w:hAnsi="黑体" w:eastAsia="仿宋_GB2312"/>
          <w:sz w:val="32"/>
          <w:szCs w:val="32"/>
          <w:lang w:eastAsia="zh-CN"/>
        </w:rPr>
        <w:t>同时，延伸检查中发现采购人、评审专家、供应商存在违法违规行为的，由财政部门依法作出处理处罚。</w:t>
      </w:r>
    </w:p>
    <w:p w14:paraId="19288CF7">
      <w:pPr>
        <w:keepNext w:val="0"/>
        <w:keepLines w:val="0"/>
        <w:pageBreakBefore w:val="0"/>
        <w:kinsoku/>
        <w:wordWrap/>
        <w:topLinePunct w:val="0"/>
        <w:autoSpaceDE/>
        <w:bidi w:val="0"/>
        <w:adjustRightInd/>
        <w:spacing w:line="560" w:lineRule="exact"/>
        <w:ind w:leftChars="0" w:firstLine="640" w:firstLineChars="200"/>
        <w:rPr>
          <w:rFonts w:hint="eastAsia" w:ascii="仿宋_GB2312" w:hAnsi="黑体" w:eastAsia="仿宋_GB2312"/>
          <w:sz w:val="32"/>
          <w:szCs w:val="32"/>
        </w:rPr>
      </w:pPr>
      <w:r>
        <w:rPr>
          <w:rFonts w:hint="eastAsia" w:ascii="仿宋_GB2312" w:hAnsi="黑体" w:eastAsia="仿宋_GB2312"/>
          <w:sz w:val="32"/>
          <w:szCs w:val="32"/>
          <w:lang w:eastAsia="zh-CN"/>
        </w:rPr>
        <w:t>检查中</w:t>
      </w:r>
      <w:r>
        <w:rPr>
          <w:rFonts w:hint="eastAsia" w:ascii="仿宋_GB2312" w:hAnsi="黑体" w:eastAsia="仿宋_GB2312"/>
          <w:sz w:val="32"/>
          <w:szCs w:val="32"/>
        </w:rPr>
        <w:t>发现国家公职人员涉嫌违纪的，移送纪检监察部门处理。检查中发现涉嫌犯罪的，依法移送有关机关处理。</w:t>
      </w:r>
    </w:p>
    <w:p w14:paraId="6F6A7AD3">
      <w:pPr>
        <w:keepNext w:val="0"/>
        <w:keepLines w:val="0"/>
        <w:pageBreakBefore w:val="0"/>
        <w:kinsoku/>
        <w:wordWrap/>
        <w:topLinePunct w:val="0"/>
        <w:autoSpaceDE/>
        <w:bidi w:val="0"/>
        <w:adjustRightInd/>
        <w:spacing w:line="560" w:lineRule="exact"/>
        <w:ind w:leftChars="0" w:firstLine="640" w:firstLineChars="200"/>
        <w:rPr>
          <w:rFonts w:hint="eastAsia" w:ascii="仿宋_GB2312" w:hAnsi="黑体" w:eastAsia="仿宋_GB2312"/>
          <w:sz w:val="32"/>
          <w:szCs w:val="32"/>
          <w:lang w:val="en-US" w:eastAsia="zh-CN"/>
        </w:rPr>
      </w:pPr>
      <w:r>
        <w:rPr>
          <w:rFonts w:hint="eastAsia" w:ascii="黑体" w:hAnsi="黑体" w:eastAsia="黑体" w:cs="黑体"/>
          <w:b w:val="0"/>
          <w:bCs w:val="0"/>
          <w:sz w:val="32"/>
          <w:szCs w:val="32"/>
          <w:lang w:eastAsia="zh-CN"/>
        </w:rPr>
        <w:t>第三十七条</w:t>
      </w:r>
      <w:r>
        <w:rPr>
          <w:rFonts w:hint="eastAsia" w:ascii="仿宋_GB2312" w:hAnsi="黑体" w:eastAsia="仿宋_GB2312"/>
          <w:sz w:val="32"/>
          <w:szCs w:val="32"/>
          <w:lang w:val="en-US" w:eastAsia="zh-CN"/>
        </w:rPr>
        <w:t xml:space="preserve">  依法应予公开的处理处罚信息应当在省级以上财政部门指定的媒体上发布。</w:t>
      </w:r>
    </w:p>
    <w:p w14:paraId="77DE8B62">
      <w:pPr>
        <w:keepNext w:val="0"/>
        <w:keepLines w:val="0"/>
        <w:pageBreakBefore w:val="0"/>
        <w:kinsoku/>
        <w:wordWrap/>
        <w:topLinePunct w:val="0"/>
        <w:autoSpaceDE/>
        <w:bidi w:val="0"/>
        <w:adjustRightInd/>
        <w:spacing w:line="560" w:lineRule="exact"/>
        <w:ind w:leftChars="0" w:firstLine="640" w:firstLineChars="200"/>
        <w:rPr>
          <w:rFonts w:hint="default" w:ascii="仿宋_GB2312" w:hAnsi="黑体" w:eastAsia="仿宋_GB2312"/>
          <w:sz w:val="32"/>
          <w:szCs w:val="32"/>
          <w:lang w:val="en-US" w:eastAsia="zh-CN"/>
        </w:rPr>
      </w:pPr>
      <w:r>
        <w:rPr>
          <w:rFonts w:hint="eastAsia" w:ascii="黑体" w:hAnsi="黑体" w:eastAsia="黑体" w:cs="黑体"/>
          <w:sz w:val="32"/>
          <w:szCs w:val="32"/>
          <w:lang w:val="en-US" w:eastAsia="zh-CN"/>
        </w:rPr>
        <w:t xml:space="preserve">第三十八条 </w:t>
      </w:r>
      <w:r>
        <w:rPr>
          <w:rFonts w:hint="eastAsia" w:ascii="仿宋_GB2312" w:hAnsi="黑体" w:eastAsia="仿宋_GB2312"/>
          <w:sz w:val="32"/>
          <w:szCs w:val="32"/>
          <w:lang w:val="en-US" w:eastAsia="zh-CN"/>
        </w:rPr>
        <w:t xml:space="preserve"> 处理处罚决定作出后，相关当事人申请行政复议或提起行政诉讼的，财政部门依法依规做好行政复议或行政诉讼应对工作。</w:t>
      </w:r>
    </w:p>
    <w:p w14:paraId="6E60690F">
      <w:pPr>
        <w:keepNext w:val="0"/>
        <w:keepLines w:val="0"/>
        <w:pageBreakBefore w:val="0"/>
        <w:kinsoku/>
        <w:wordWrap/>
        <w:overflowPunct w:val="0"/>
        <w:topLinePunct w:val="0"/>
        <w:autoSpaceDE/>
        <w:bidi w:val="0"/>
        <w:adjustRightInd/>
        <w:spacing w:line="560" w:lineRule="exact"/>
        <w:ind w:left="0" w:leftChars="0" w:right="0" w:firstLine="3200" w:firstLineChars="1000"/>
        <w:textAlignment w:val="auto"/>
        <w:rPr>
          <w:rFonts w:hint="eastAsia" w:ascii="黑体" w:hAnsi="黑体" w:eastAsia="黑体"/>
          <w:sz w:val="32"/>
        </w:rPr>
      </w:pPr>
      <w:r>
        <w:rPr>
          <w:rFonts w:hint="eastAsia" w:ascii="黑体" w:hAnsi="黑体" w:eastAsia="黑体"/>
          <w:sz w:val="32"/>
        </w:rPr>
        <w:t>第</w:t>
      </w:r>
      <w:r>
        <w:rPr>
          <w:rFonts w:hint="eastAsia" w:ascii="黑体" w:hAnsi="黑体" w:eastAsia="黑体"/>
          <w:sz w:val="32"/>
          <w:lang w:eastAsia="zh-CN"/>
        </w:rPr>
        <w:t>七</w:t>
      </w:r>
      <w:r>
        <w:rPr>
          <w:rFonts w:hint="eastAsia" w:ascii="黑体" w:hAnsi="黑体" w:eastAsia="黑体"/>
          <w:sz w:val="32"/>
        </w:rPr>
        <w:t>章  附  则</w:t>
      </w:r>
    </w:p>
    <w:p w14:paraId="020FFE12">
      <w:pPr>
        <w:keepNext w:val="0"/>
        <w:keepLines w:val="0"/>
        <w:pageBreakBefore w:val="0"/>
        <w:tabs>
          <w:tab w:val="center" w:pos="4473"/>
        </w:tabs>
        <w:kinsoku/>
        <w:wordWrap/>
        <w:topLinePunct w:val="0"/>
        <w:autoSpaceDE/>
        <w:bidi w:val="0"/>
        <w:adjustRightInd/>
        <w:snapToGrid/>
        <w:spacing w:line="560" w:lineRule="exact"/>
        <w:ind w:left="0" w:leftChars="0" w:right="0" w:firstLine="640" w:firstLineChars="200"/>
        <w:textAlignment w:val="auto"/>
        <w:rPr>
          <w:rFonts w:hint="eastAsia" w:ascii="仿宋_GB2312" w:hAnsi="宋体" w:eastAsia="仿宋_GB2312"/>
          <w:bCs/>
          <w:sz w:val="32"/>
          <w:szCs w:val="32"/>
        </w:rPr>
      </w:pPr>
      <w:r>
        <w:rPr>
          <w:rFonts w:hint="eastAsia" w:ascii="黑体" w:hAnsi="黑体" w:eastAsia="黑体"/>
          <w:sz w:val="32"/>
        </w:rPr>
        <w:t>第</w:t>
      </w:r>
      <w:r>
        <w:rPr>
          <w:rFonts w:hint="eastAsia" w:ascii="黑体" w:hAnsi="黑体" w:eastAsia="黑体"/>
          <w:sz w:val="32"/>
          <w:lang w:eastAsia="zh-CN"/>
        </w:rPr>
        <w:t>三</w:t>
      </w:r>
      <w:r>
        <w:rPr>
          <w:rFonts w:hint="eastAsia" w:ascii="黑体" w:hAnsi="黑体" w:eastAsia="黑体"/>
          <w:sz w:val="32"/>
        </w:rPr>
        <w:t>十</w:t>
      </w:r>
      <w:r>
        <w:rPr>
          <w:rFonts w:hint="eastAsia" w:ascii="黑体" w:hAnsi="黑体" w:eastAsia="黑体"/>
          <w:sz w:val="32"/>
          <w:lang w:eastAsia="zh-CN"/>
        </w:rPr>
        <w:t>九</w:t>
      </w:r>
      <w:r>
        <w:rPr>
          <w:rFonts w:hint="eastAsia" w:ascii="黑体" w:hAnsi="黑体" w:eastAsia="黑体"/>
          <w:sz w:val="32"/>
        </w:rPr>
        <w:t>条</w:t>
      </w:r>
      <w:r>
        <w:rPr>
          <w:rFonts w:hint="eastAsia" w:ascii="仿宋_GB2312" w:hAnsi="仿宋_GB2312" w:eastAsia="仿宋_GB2312" w:cs="仿宋_GB2312"/>
          <w:bCs/>
          <w:sz w:val="32"/>
          <w:szCs w:val="32"/>
        </w:rPr>
        <w:t xml:space="preserve"> </w:t>
      </w:r>
      <w:r>
        <w:rPr>
          <w:rFonts w:hint="eastAsia" w:ascii="仿宋_GB2312" w:hAnsi="宋体" w:eastAsia="仿宋_GB2312"/>
          <w:bCs/>
          <w:sz w:val="32"/>
          <w:szCs w:val="32"/>
        </w:rPr>
        <w:t xml:space="preserve"> 本办法由省财政厅负责解释。</w:t>
      </w:r>
    </w:p>
    <w:p w14:paraId="00FEBEF2">
      <w:pPr>
        <w:keepNext w:val="0"/>
        <w:keepLines w:val="0"/>
        <w:pageBreakBefore w:val="0"/>
        <w:kinsoku/>
        <w:wordWrap/>
        <w:overflowPunct w:val="0"/>
        <w:topLinePunct w:val="0"/>
        <w:autoSpaceDE/>
        <w:bidi w:val="0"/>
        <w:adjustRightInd/>
        <w:spacing w:line="560" w:lineRule="exact"/>
        <w:ind w:left="0" w:leftChars="0" w:right="0"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黑体" w:hAnsi="黑体" w:eastAsia="黑体"/>
          <w:sz w:val="32"/>
        </w:rPr>
        <w:t>第</w:t>
      </w:r>
      <w:r>
        <w:rPr>
          <w:rFonts w:hint="eastAsia" w:ascii="黑体" w:hAnsi="黑体" w:eastAsia="黑体"/>
          <w:sz w:val="32"/>
          <w:lang w:eastAsia="zh-CN"/>
        </w:rPr>
        <w:t>四十</w:t>
      </w:r>
      <w:r>
        <w:rPr>
          <w:rFonts w:hint="eastAsia" w:ascii="黑体" w:hAnsi="黑体" w:eastAsia="黑体"/>
          <w:sz w:val="32"/>
        </w:rPr>
        <w:t>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本办法自</w:t>
      </w:r>
      <w:r>
        <w:rPr>
          <w:rFonts w:hint="eastAsia" w:ascii="仿宋_GB2312" w:hAnsi="仿宋_GB2312" w:eastAsia="仿宋_GB2312" w:cs="仿宋_GB2312"/>
          <w:sz w:val="32"/>
          <w:szCs w:val="32"/>
          <w:lang w:val="en-US" w:eastAsia="zh-CN"/>
        </w:rPr>
        <w:t>公布之日起施行</w:t>
      </w:r>
      <w:r>
        <w:rPr>
          <w:rFonts w:hint="eastAsia" w:ascii="仿宋_GB2312" w:hAnsi="仿宋_GB2312" w:eastAsia="仿宋_GB2312" w:cs="仿宋_GB2312"/>
          <w:sz w:val="32"/>
          <w:szCs w:val="32"/>
          <w:lang w:eastAsia="zh-CN"/>
        </w:rPr>
        <w:t>。原《</w:t>
      </w:r>
      <w:r>
        <w:rPr>
          <w:rFonts w:hint="eastAsia" w:ascii="仿宋_GB2312" w:hAnsi="仿宋_GB2312" w:eastAsia="仿宋_GB2312" w:cs="仿宋_GB2312"/>
          <w:sz w:val="32"/>
          <w:szCs w:val="32"/>
        </w:rPr>
        <w:t>青海省财政厅关于印发</w:t>
      </w:r>
      <w:r>
        <w:rPr>
          <w:rFonts w:hint="default" w:ascii="仿宋_GB2312" w:hAnsi="仿宋_GB2312" w:eastAsia="仿宋_GB2312" w:cs="仿宋_GB2312"/>
          <w:sz w:val="32"/>
          <w:szCs w:val="32"/>
          <w:lang w:val="en"/>
        </w:rPr>
        <w:t>&lt;</w:t>
      </w:r>
      <w:r>
        <w:rPr>
          <w:rFonts w:hint="eastAsia" w:ascii="仿宋_GB2312" w:hAnsi="仿宋_GB2312" w:eastAsia="仿宋_GB2312" w:cs="仿宋_GB2312"/>
          <w:sz w:val="32"/>
          <w:szCs w:val="32"/>
        </w:rPr>
        <w:t>青海省政府采购代理机构记分管理办法（修订版）</w:t>
      </w:r>
      <w:r>
        <w:rPr>
          <w:rFonts w:hint="default" w:ascii="仿宋_GB2312" w:hAnsi="仿宋_GB2312" w:eastAsia="仿宋_GB2312" w:cs="仿宋_GB2312"/>
          <w:sz w:val="32"/>
          <w:szCs w:val="32"/>
          <w:lang w:val="en"/>
        </w:rPr>
        <w:t>&gt;</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青财</w:t>
      </w:r>
      <w:r>
        <w:rPr>
          <w:rFonts w:hint="eastAsia" w:ascii="仿宋_GB2312" w:hAnsi="仿宋_GB2312" w:eastAsia="仿宋_GB2312" w:cs="仿宋_GB2312"/>
          <w:sz w:val="32"/>
          <w:szCs w:val="32"/>
        </w:rPr>
        <w:t>采字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756号）</w:t>
      </w:r>
      <w:r>
        <w:rPr>
          <w:rFonts w:hint="eastAsia" w:ascii="仿宋_GB2312" w:hAnsi="仿宋_GB2312" w:eastAsia="仿宋_GB2312" w:cs="仿宋_GB2312"/>
          <w:sz w:val="32"/>
          <w:szCs w:val="32"/>
          <w:lang w:eastAsia="zh-CN"/>
        </w:rPr>
        <w:t>废止。</w:t>
      </w:r>
    </w:p>
    <w:p w14:paraId="009ED2FD">
      <w:pPr>
        <w:keepNext w:val="0"/>
        <w:keepLines w:val="0"/>
        <w:pageBreakBefore w:val="0"/>
        <w:tabs>
          <w:tab w:val="center" w:pos="4473"/>
        </w:tabs>
        <w:kinsoku/>
        <w:wordWrap/>
        <w:topLinePunct w:val="0"/>
        <w:autoSpaceDE/>
        <w:bidi w:val="0"/>
        <w:adjustRightInd/>
        <w:snapToGrid/>
        <w:spacing w:line="560" w:lineRule="exact"/>
        <w:ind w:left="0" w:leftChars="0" w:right="0" w:firstLine="640" w:firstLineChars="200"/>
        <w:textAlignment w:val="auto"/>
        <w:rPr>
          <w:rFonts w:hint="eastAsia" w:ascii="仿宋_GB2312" w:hAnsi="宋体" w:eastAsia="仿宋_GB2312"/>
          <w:sz w:val="32"/>
          <w:szCs w:val="32"/>
        </w:rPr>
      </w:pPr>
    </w:p>
    <w:p w14:paraId="06F1197B">
      <w:pPr>
        <w:keepNext w:val="0"/>
        <w:keepLines w:val="0"/>
        <w:pageBreakBefore w:val="0"/>
        <w:tabs>
          <w:tab w:val="center" w:pos="4473"/>
        </w:tabs>
        <w:kinsoku/>
        <w:wordWrap/>
        <w:topLinePunct w:val="0"/>
        <w:autoSpaceDE/>
        <w:bidi w:val="0"/>
        <w:adjustRightInd/>
        <w:snapToGrid/>
        <w:spacing w:line="560" w:lineRule="exact"/>
        <w:ind w:left="0" w:leftChars="0" w:right="0"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附件：1.</w:t>
      </w:r>
      <w:r>
        <w:rPr>
          <w:rFonts w:hint="eastAsia" w:ascii="仿宋_GB2312" w:hAnsi="宋体" w:eastAsia="仿宋_GB2312"/>
          <w:sz w:val="32"/>
          <w:szCs w:val="32"/>
          <w:lang w:eastAsia="zh-CN"/>
        </w:rPr>
        <w:t>青海</w:t>
      </w:r>
      <w:r>
        <w:rPr>
          <w:rFonts w:hint="eastAsia" w:ascii="仿宋_GB2312" w:hAnsi="宋体" w:eastAsia="仿宋_GB2312"/>
          <w:sz w:val="32"/>
          <w:szCs w:val="32"/>
        </w:rPr>
        <w:t>省政府采购代理机构名录注销登记申请表</w:t>
      </w:r>
    </w:p>
    <w:p w14:paraId="39528EAA">
      <w:pPr>
        <w:keepNext w:val="0"/>
        <w:keepLines w:val="0"/>
        <w:pageBreakBefore w:val="0"/>
        <w:tabs>
          <w:tab w:val="center" w:pos="4473"/>
        </w:tabs>
        <w:kinsoku/>
        <w:wordWrap/>
        <w:topLinePunct w:val="0"/>
        <w:autoSpaceDE/>
        <w:bidi w:val="0"/>
        <w:adjustRightInd/>
        <w:snapToGrid/>
        <w:spacing w:line="560" w:lineRule="exact"/>
        <w:ind w:left="0" w:leftChars="0" w:right="0" w:firstLine="1600" w:firstLineChars="500"/>
        <w:textAlignment w:val="auto"/>
        <w:rPr>
          <w:rFonts w:hint="eastAsia" w:ascii="仿宋_GB2312" w:hAnsi="宋体" w:eastAsia="仿宋_GB2312"/>
          <w:sz w:val="32"/>
          <w:szCs w:val="32"/>
          <w:lang w:eastAsia="zh-CN"/>
        </w:rPr>
      </w:pPr>
      <w:r>
        <w:rPr>
          <w:rFonts w:hint="eastAsia" w:ascii="仿宋_GB2312" w:hAnsi="宋体" w:eastAsia="仿宋_GB2312"/>
          <w:sz w:val="32"/>
          <w:szCs w:val="32"/>
        </w:rPr>
        <w:t>2.</w:t>
      </w:r>
      <w:r>
        <w:rPr>
          <w:rFonts w:hint="eastAsia" w:ascii="仿宋_GB2312" w:hAnsi="宋体" w:eastAsia="仿宋_GB2312"/>
          <w:sz w:val="32"/>
          <w:szCs w:val="32"/>
          <w:lang w:eastAsia="zh-CN"/>
        </w:rPr>
        <w:t>青海省政府采购代理机构记分规则</w:t>
      </w:r>
    </w:p>
    <w:p w14:paraId="03D64216">
      <w:pPr>
        <w:keepNext w:val="0"/>
        <w:keepLines w:val="0"/>
        <w:pageBreakBefore w:val="0"/>
        <w:tabs>
          <w:tab w:val="center" w:pos="4473"/>
        </w:tabs>
        <w:kinsoku/>
        <w:wordWrap/>
        <w:topLinePunct w:val="0"/>
        <w:autoSpaceDE/>
        <w:bidi w:val="0"/>
        <w:adjustRightInd/>
        <w:snapToGrid/>
        <w:spacing w:line="560" w:lineRule="exact"/>
        <w:ind w:left="0" w:leftChars="0" w:right="0" w:firstLine="1600" w:firstLineChars="5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3.政府采购监督处理通知书</w:t>
      </w:r>
    </w:p>
    <w:p w14:paraId="67B79BE0">
      <w:pPr>
        <w:keepNext w:val="0"/>
        <w:keepLines w:val="0"/>
        <w:pageBreakBefore w:val="0"/>
        <w:tabs>
          <w:tab w:val="center" w:pos="4473"/>
        </w:tabs>
        <w:kinsoku/>
        <w:wordWrap/>
        <w:topLinePunct w:val="0"/>
        <w:autoSpaceDE/>
        <w:bidi w:val="0"/>
        <w:adjustRightInd/>
        <w:snapToGrid/>
        <w:spacing w:line="560" w:lineRule="exact"/>
        <w:ind w:left="0" w:leftChars="0" w:right="0" w:firstLine="1600" w:firstLineChars="5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4.政府采购代理机构整改通知书</w:t>
      </w:r>
    </w:p>
    <w:p w14:paraId="26C8D28B">
      <w:pPr>
        <w:keepNext w:val="0"/>
        <w:keepLines w:val="0"/>
        <w:pageBreakBefore w:val="0"/>
        <w:tabs>
          <w:tab w:val="center" w:pos="4473"/>
        </w:tabs>
        <w:kinsoku/>
        <w:wordWrap/>
        <w:topLinePunct w:val="0"/>
        <w:autoSpaceDE/>
        <w:bidi w:val="0"/>
        <w:adjustRightInd/>
        <w:snapToGrid/>
        <w:spacing w:line="560" w:lineRule="exact"/>
        <w:ind w:left="0" w:leftChars="0" w:right="0" w:firstLine="1600" w:firstLineChars="5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5.政府采购代理机构整改验收表</w:t>
      </w:r>
    </w:p>
    <w:p w14:paraId="14D1CA74">
      <w:pPr>
        <w:keepNext w:val="0"/>
        <w:keepLines w:val="0"/>
        <w:pageBreakBefore w:val="0"/>
        <w:tabs>
          <w:tab w:val="center" w:pos="4473"/>
        </w:tabs>
        <w:kinsoku/>
        <w:wordWrap/>
        <w:topLinePunct w:val="0"/>
        <w:autoSpaceDE/>
        <w:bidi w:val="0"/>
        <w:adjustRightInd/>
        <w:snapToGrid/>
        <w:spacing w:line="560" w:lineRule="exact"/>
        <w:ind w:left="0" w:leftChars="0" w:right="0" w:firstLine="1600" w:firstLineChars="500"/>
        <w:textAlignment w:val="auto"/>
        <w:rPr>
          <w:rFonts w:hint="default" w:ascii="仿宋_GB2312" w:hAnsi="宋体" w:eastAsia="仿宋_GB2312"/>
          <w:sz w:val="32"/>
          <w:szCs w:val="32"/>
          <w:lang w:val="en-US" w:eastAsia="zh-CN"/>
        </w:rPr>
      </w:pPr>
    </w:p>
    <w:p w14:paraId="3F8AF792">
      <w:pPr>
        <w:keepNext w:val="0"/>
        <w:keepLines w:val="0"/>
        <w:pageBreakBefore w:val="0"/>
        <w:tabs>
          <w:tab w:val="center" w:pos="4473"/>
        </w:tabs>
        <w:kinsoku/>
        <w:wordWrap/>
        <w:topLinePunct w:val="0"/>
        <w:autoSpaceDE/>
        <w:bidi w:val="0"/>
        <w:adjustRightInd/>
        <w:snapToGrid/>
        <w:spacing w:line="560" w:lineRule="exact"/>
        <w:ind w:left="0" w:leftChars="0" w:right="0" w:firstLine="1400" w:firstLineChars="500"/>
        <w:textAlignment w:val="auto"/>
        <w:rPr>
          <w:rFonts w:hint="eastAsia" w:ascii="仿宋_GB2312" w:hAnsi="宋体" w:eastAsia="仿宋_GB2312"/>
          <w:sz w:val="28"/>
          <w:szCs w:val="28"/>
        </w:rPr>
      </w:pPr>
    </w:p>
    <w:p w14:paraId="7BF7927D">
      <w:pPr>
        <w:keepNext w:val="0"/>
        <w:keepLines w:val="0"/>
        <w:pageBreakBefore w:val="0"/>
        <w:kinsoku/>
        <w:wordWrap/>
        <w:topLinePunct w:val="0"/>
        <w:autoSpaceDE/>
        <w:bidi w:val="0"/>
        <w:adjustRightInd/>
        <w:spacing w:line="560" w:lineRule="exact"/>
        <w:ind w:left="0" w:leftChars="0" w:right="0" w:firstLine="420" w:firstLineChars="200"/>
        <w:textAlignment w:val="auto"/>
        <w:rPr>
          <w:color w:val="000000" w:themeColor="text1"/>
          <w14:textFill>
            <w14:solidFill>
              <w14:schemeClr w14:val="tx1"/>
            </w14:solidFill>
          </w14:textFill>
        </w:rPr>
      </w:pPr>
    </w:p>
    <w:p w14:paraId="5280FA57">
      <w:pPr>
        <w:keepNext w:val="0"/>
        <w:keepLines w:val="0"/>
        <w:pageBreakBefore w:val="0"/>
        <w:widowControl/>
        <w:kinsoku/>
        <w:wordWrap/>
        <w:topLinePunct w:val="0"/>
        <w:autoSpaceDE/>
        <w:bidi w:val="0"/>
        <w:adjustRightInd/>
        <w:spacing w:line="560" w:lineRule="exact"/>
        <w:ind w:left="0" w:leftChars="0" w:right="0" w:firstLine="640" w:firstLineChars="200"/>
        <w:jc w:val="left"/>
        <w:textAlignment w:val="auto"/>
        <w:rPr>
          <w:rFonts w:ascii="黑体" w:hAnsi="黑体" w:eastAsia="黑体" w:cs="仿宋_GB2312"/>
          <w:sz w:val="32"/>
          <w:szCs w:val="32"/>
        </w:rPr>
      </w:pPr>
      <w:r>
        <w:rPr>
          <w:rFonts w:ascii="黑体" w:hAnsi="黑体" w:eastAsia="黑体" w:cs="仿宋_GB2312"/>
          <w:sz w:val="32"/>
          <w:szCs w:val="32"/>
        </w:rPr>
        <w:br w:type="page"/>
      </w:r>
    </w:p>
    <w:tbl>
      <w:tblPr>
        <w:tblStyle w:val="3"/>
        <w:tblpPr w:leftFromText="181" w:rightFromText="181" w:vertAnchor="page" w:horzAnchor="page" w:tblpX="1170" w:tblpY="2076"/>
        <w:tblOverlap w:val="never"/>
        <w:tblW w:w="9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6"/>
        <w:gridCol w:w="920"/>
        <w:gridCol w:w="1290"/>
        <w:gridCol w:w="1079"/>
        <w:gridCol w:w="51"/>
        <w:gridCol w:w="1050"/>
        <w:gridCol w:w="1000"/>
        <w:gridCol w:w="1040"/>
        <w:gridCol w:w="1480"/>
      </w:tblGrid>
      <w:tr w14:paraId="6820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trPr>
        <w:tc>
          <w:tcPr>
            <w:tcW w:w="9436" w:type="dxa"/>
            <w:gridSpan w:val="9"/>
            <w:tcBorders>
              <w:top w:val="nil"/>
              <w:left w:val="nil"/>
              <w:bottom w:val="nil"/>
              <w:right w:val="nil"/>
            </w:tcBorders>
            <w:tcMar>
              <w:top w:w="10" w:type="dxa"/>
              <w:left w:w="10" w:type="dxa"/>
              <w:right w:w="10" w:type="dxa"/>
            </w:tcMar>
            <w:vAlign w:val="center"/>
          </w:tcPr>
          <w:p w14:paraId="30C62A42">
            <w:pPr>
              <w:keepNext w:val="0"/>
              <w:keepLines w:val="0"/>
              <w:pageBreakBefore w:val="0"/>
              <w:tabs>
                <w:tab w:val="center" w:pos="4473"/>
              </w:tabs>
              <w:kinsoku/>
              <w:wordWrap/>
              <w:topLinePunct w:val="0"/>
              <w:autoSpaceDE/>
              <w:bidi w:val="0"/>
              <w:adjustRightInd/>
              <w:snapToGrid/>
              <w:spacing w:line="560" w:lineRule="exact"/>
              <w:ind w:leftChars="0" w:right="0"/>
              <w:jc w:val="left"/>
              <w:textAlignment w:val="auto"/>
              <w:rPr>
                <w:rFonts w:hint="default" w:ascii="黑体" w:hAnsi="黑体" w:eastAsia="黑体"/>
                <w:sz w:val="32"/>
                <w:szCs w:val="32"/>
                <w:lang w:val="en-US" w:eastAsia="zh-CN"/>
              </w:rPr>
            </w:pPr>
            <w:r>
              <w:rPr>
                <w:rFonts w:hint="eastAsia" w:ascii="黑体" w:hAnsi="黑体" w:eastAsia="黑体"/>
                <w:sz w:val="32"/>
                <w:szCs w:val="32"/>
                <w:lang w:eastAsia="zh-CN"/>
              </w:rPr>
              <w:t>附件</w:t>
            </w:r>
            <w:r>
              <w:rPr>
                <w:rFonts w:hint="eastAsia" w:ascii="黑体" w:hAnsi="黑体" w:eastAsia="黑体"/>
                <w:sz w:val="32"/>
                <w:szCs w:val="32"/>
                <w:lang w:val="en-US" w:eastAsia="zh-CN"/>
              </w:rPr>
              <w:t>1</w:t>
            </w:r>
          </w:p>
          <w:p w14:paraId="5BFC7EC3">
            <w:pPr>
              <w:keepNext w:val="0"/>
              <w:keepLines w:val="0"/>
              <w:pageBreakBefore w:val="0"/>
              <w:widowControl/>
              <w:kinsoku/>
              <w:wordWrap/>
              <w:topLinePunct w:val="0"/>
              <w:autoSpaceDE/>
              <w:bidi w:val="0"/>
              <w:adjustRightInd/>
              <w:spacing w:line="560" w:lineRule="exact"/>
              <w:ind w:leftChars="0"/>
              <w:jc w:val="center"/>
              <w:textAlignment w:val="center"/>
              <w:rPr>
                <w:rFonts w:ascii="方正小标宋简体" w:hAnsi="方正小标宋简体" w:eastAsia="方正小标宋简体" w:cs="宋体"/>
                <w:color w:val="000000"/>
                <w:sz w:val="36"/>
                <w:szCs w:val="36"/>
              </w:rPr>
            </w:pPr>
            <w:r>
              <w:rPr>
                <w:rFonts w:hint="eastAsia" w:ascii="方正小标宋简体" w:hAnsi="方正小标宋简体" w:eastAsia="方正小标宋简体" w:cs="黑体"/>
                <w:color w:val="000000"/>
                <w:kern w:val="0"/>
                <w:sz w:val="44"/>
                <w:szCs w:val="44"/>
                <w:lang w:eastAsia="zh-CN"/>
              </w:rPr>
              <w:t>青海</w:t>
            </w:r>
            <w:r>
              <w:rPr>
                <w:rFonts w:hint="eastAsia" w:ascii="方正小标宋简体" w:hAnsi="方正小标宋简体" w:eastAsia="方正小标宋简体" w:cs="黑体"/>
                <w:color w:val="000000"/>
                <w:kern w:val="0"/>
                <w:sz w:val="44"/>
                <w:szCs w:val="44"/>
              </w:rPr>
              <w:t>省政府采购代理机构名录注销登记申请表</w:t>
            </w:r>
          </w:p>
        </w:tc>
      </w:tr>
      <w:tr w14:paraId="21DB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exact"/>
        </w:trPr>
        <w:tc>
          <w:tcPr>
            <w:tcW w:w="1526" w:type="dxa"/>
            <w:tcBorders>
              <w:top w:val="nil"/>
              <w:left w:val="nil"/>
              <w:right w:val="nil"/>
            </w:tcBorders>
            <w:tcMar>
              <w:top w:w="10" w:type="dxa"/>
              <w:left w:w="10" w:type="dxa"/>
              <w:right w:w="10" w:type="dxa"/>
            </w:tcMar>
            <w:vAlign w:val="center"/>
          </w:tcPr>
          <w:p w14:paraId="198DD550">
            <w:pPr>
              <w:keepNext w:val="0"/>
              <w:keepLines w:val="0"/>
              <w:pageBreakBefore w:val="0"/>
              <w:widowControl/>
              <w:kinsoku/>
              <w:wordWrap/>
              <w:topLinePunct w:val="0"/>
              <w:autoSpaceDE/>
              <w:bidi w:val="0"/>
              <w:adjustRightInd/>
              <w:spacing w:line="560" w:lineRule="exact"/>
              <w:ind w:leftChars="0"/>
              <w:jc w:val="left"/>
              <w:textAlignment w:val="center"/>
              <w:rPr>
                <w:rFonts w:ascii="宋体" w:hAnsi="宋体" w:cs="宋体"/>
                <w:color w:val="000000"/>
                <w:sz w:val="24"/>
              </w:rPr>
            </w:pPr>
            <w:r>
              <w:rPr>
                <w:rFonts w:hint="eastAsia" w:ascii="宋体" w:hAnsi="宋体" w:cs="宋体"/>
                <w:color w:val="000000"/>
                <w:kern w:val="0"/>
                <w:sz w:val="24"/>
              </w:rPr>
              <w:t>申请单位签章</w:t>
            </w:r>
          </w:p>
        </w:tc>
        <w:tc>
          <w:tcPr>
            <w:tcW w:w="920" w:type="dxa"/>
            <w:tcBorders>
              <w:top w:val="nil"/>
              <w:left w:val="nil"/>
              <w:right w:val="nil"/>
            </w:tcBorders>
            <w:tcMar>
              <w:top w:w="10" w:type="dxa"/>
              <w:left w:w="10" w:type="dxa"/>
              <w:right w:w="10" w:type="dxa"/>
            </w:tcMar>
            <w:vAlign w:val="center"/>
          </w:tcPr>
          <w:p w14:paraId="68F1DF57">
            <w:pPr>
              <w:keepNext w:val="0"/>
              <w:keepLines w:val="0"/>
              <w:pageBreakBefore w:val="0"/>
              <w:kinsoku/>
              <w:wordWrap/>
              <w:topLinePunct w:val="0"/>
              <w:autoSpaceDE/>
              <w:bidi w:val="0"/>
              <w:adjustRightInd/>
              <w:spacing w:line="560" w:lineRule="exact"/>
              <w:ind w:leftChars="0"/>
              <w:rPr>
                <w:rFonts w:ascii="宋体" w:hAnsi="宋体" w:cs="宋体"/>
                <w:color w:val="000000"/>
                <w:sz w:val="24"/>
              </w:rPr>
            </w:pPr>
          </w:p>
        </w:tc>
        <w:tc>
          <w:tcPr>
            <w:tcW w:w="1290" w:type="dxa"/>
            <w:tcBorders>
              <w:top w:val="nil"/>
              <w:left w:val="nil"/>
              <w:right w:val="nil"/>
            </w:tcBorders>
            <w:tcMar>
              <w:top w:w="10" w:type="dxa"/>
              <w:left w:w="10" w:type="dxa"/>
              <w:right w:w="10" w:type="dxa"/>
            </w:tcMar>
            <w:vAlign w:val="center"/>
          </w:tcPr>
          <w:p w14:paraId="0268C9B8">
            <w:pPr>
              <w:keepNext w:val="0"/>
              <w:keepLines w:val="0"/>
              <w:pageBreakBefore w:val="0"/>
              <w:kinsoku/>
              <w:wordWrap/>
              <w:topLinePunct w:val="0"/>
              <w:autoSpaceDE/>
              <w:bidi w:val="0"/>
              <w:adjustRightInd/>
              <w:spacing w:line="560" w:lineRule="exact"/>
              <w:ind w:leftChars="0"/>
              <w:rPr>
                <w:rFonts w:ascii="宋体" w:hAnsi="宋体" w:cs="宋体"/>
                <w:color w:val="000000"/>
                <w:sz w:val="24"/>
              </w:rPr>
            </w:pPr>
          </w:p>
        </w:tc>
        <w:tc>
          <w:tcPr>
            <w:tcW w:w="1130" w:type="dxa"/>
            <w:gridSpan w:val="2"/>
            <w:tcBorders>
              <w:top w:val="nil"/>
              <w:left w:val="nil"/>
              <w:right w:val="nil"/>
            </w:tcBorders>
            <w:tcMar>
              <w:top w:w="10" w:type="dxa"/>
              <w:left w:w="10" w:type="dxa"/>
              <w:right w:w="10" w:type="dxa"/>
            </w:tcMar>
            <w:vAlign w:val="center"/>
          </w:tcPr>
          <w:p w14:paraId="77C62D3D">
            <w:pPr>
              <w:keepNext w:val="0"/>
              <w:keepLines w:val="0"/>
              <w:pageBreakBefore w:val="0"/>
              <w:kinsoku/>
              <w:wordWrap/>
              <w:topLinePunct w:val="0"/>
              <w:autoSpaceDE/>
              <w:bidi w:val="0"/>
              <w:adjustRightInd/>
              <w:spacing w:line="560" w:lineRule="exact"/>
              <w:ind w:leftChars="0"/>
              <w:rPr>
                <w:rFonts w:ascii="宋体" w:hAnsi="宋体" w:cs="宋体"/>
                <w:color w:val="000000"/>
                <w:sz w:val="24"/>
              </w:rPr>
            </w:pPr>
          </w:p>
        </w:tc>
        <w:tc>
          <w:tcPr>
            <w:tcW w:w="1050" w:type="dxa"/>
            <w:tcBorders>
              <w:top w:val="nil"/>
              <w:left w:val="nil"/>
              <w:right w:val="nil"/>
            </w:tcBorders>
            <w:tcMar>
              <w:top w:w="10" w:type="dxa"/>
              <w:left w:w="10" w:type="dxa"/>
              <w:right w:w="10" w:type="dxa"/>
            </w:tcMar>
            <w:vAlign w:val="center"/>
          </w:tcPr>
          <w:p w14:paraId="3E6AD7C5">
            <w:pPr>
              <w:keepNext w:val="0"/>
              <w:keepLines w:val="0"/>
              <w:pageBreakBefore w:val="0"/>
              <w:kinsoku/>
              <w:wordWrap/>
              <w:topLinePunct w:val="0"/>
              <w:autoSpaceDE/>
              <w:bidi w:val="0"/>
              <w:adjustRightInd/>
              <w:spacing w:line="560" w:lineRule="exact"/>
              <w:ind w:leftChars="0"/>
              <w:rPr>
                <w:rFonts w:ascii="宋体" w:hAnsi="宋体" w:cs="宋体"/>
                <w:color w:val="000000"/>
                <w:sz w:val="24"/>
              </w:rPr>
            </w:pPr>
          </w:p>
        </w:tc>
        <w:tc>
          <w:tcPr>
            <w:tcW w:w="3520" w:type="dxa"/>
            <w:gridSpan w:val="3"/>
            <w:tcBorders>
              <w:top w:val="nil"/>
              <w:left w:val="nil"/>
              <w:right w:val="nil"/>
            </w:tcBorders>
            <w:tcMar>
              <w:top w:w="10" w:type="dxa"/>
              <w:left w:w="10" w:type="dxa"/>
              <w:right w:w="10" w:type="dxa"/>
            </w:tcMar>
            <w:vAlign w:val="center"/>
          </w:tcPr>
          <w:p w14:paraId="1C6CE9FD">
            <w:pPr>
              <w:keepNext w:val="0"/>
              <w:keepLines w:val="0"/>
              <w:pageBreakBefore w:val="0"/>
              <w:widowControl/>
              <w:kinsoku/>
              <w:wordWrap/>
              <w:topLinePunct w:val="0"/>
              <w:autoSpaceDE/>
              <w:bidi w:val="0"/>
              <w:adjustRightInd/>
              <w:spacing w:line="560" w:lineRule="exact"/>
              <w:ind w:leftChars="0"/>
              <w:jc w:val="left"/>
              <w:textAlignment w:val="center"/>
              <w:rPr>
                <w:rFonts w:ascii="宋体" w:hAnsi="宋体" w:cs="宋体"/>
                <w:color w:val="000000"/>
                <w:sz w:val="24"/>
              </w:rPr>
            </w:pPr>
            <w:r>
              <w:rPr>
                <w:rFonts w:hint="eastAsia" w:ascii="宋体" w:hAnsi="宋体" w:cs="宋体"/>
                <w:color w:val="000000"/>
                <w:kern w:val="0"/>
                <w:sz w:val="24"/>
              </w:rPr>
              <w:t>填表日期：</w:t>
            </w:r>
          </w:p>
        </w:tc>
      </w:tr>
      <w:tr w14:paraId="1733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exact"/>
        </w:trPr>
        <w:tc>
          <w:tcPr>
            <w:tcW w:w="1526" w:type="dxa"/>
            <w:tcMar>
              <w:top w:w="10" w:type="dxa"/>
              <w:left w:w="10" w:type="dxa"/>
              <w:right w:w="10" w:type="dxa"/>
            </w:tcMar>
            <w:vAlign w:val="center"/>
          </w:tcPr>
          <w:p w14:paraId="5EB9A1DE">
            <w:pPr>
              <w:keepNext w:val="0"/>
              <w:keepLines w:val="0"/>
              <w:pageBreakBefore w:val="0"/>
              <w:kinsoku/>
              <w:wordWrap/>
              <w:overflowPunct w:val="0"/>
              <w:topLinePunct w:val="0"/>
              <w:autoSpaceDE/>
              <w:bidi w:val="0"/>
              <w:adjustRightInd/>
              <w:spacing w:line="560" w:lineRule="exact"/>
              <w:ind w:leftChars="0"/>
              <w:jc w:val="center"/>
              <w:textAlignment w:val="center"/>
              <w:rPr>
                <w:rFonts w:ascii="宋体" w:hAnsi="宋体" w:cs="宋体"/>
                <w:color w:val="000000"/>
                <w:sz w:val="24"/>
              </w:rPr>
            </w:pPr>
            <w:r>
              <w:rPr>
                <w:rFonts w:hint="eastAsia" w:ascii="宋体" w:hAnsi="宋体" w:cs="宋体"/>
                <w:color w:val="000000"/>
                <w:kern w:val="0"/>
                <w:sz w:val="24"/>
              </w:rPr>
              <w:t>代理机构名称</w:t>
            </w:r>
          </w:p>
        </w:tc>
        <w:tc>
          <w:tcPr>
            <w:tcW w:w="4390" w:type="dxa"/>
            <w:gridSpan w:val="5"/>
            <w:tcMar>
              <w:top w:w="10" w:type="dxa"/>
              <w:left w:w="10" w:type="dxa"/>
              <w:right w:w="10" w:type="dxa"/>
            </w:tcMar>
            <w:vAlign w:val="center"/>
          </w:tcPr>
          <w:p w14:paraId="26AEF3C6">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c>
          <w:tcPr>
            <w:tcW w:w="2040" w:type="dxa"/>
            <w:gridSpan w:val="2"/>
            <w:tcMar>
              <w:top w:w="10" w:type="dxa"/>
              <w:left w:w="10" w:type="dxa"/>
              <w:right w:w="10" w:type="dxa"/>
            </w:tcMar>
            <w:vAlign w:val="center"/>
          </w:tcPr>
          <w:p w14:paraId="4517C324">
            <w:pPr>
              <w:keepNext w:val="0"/>
              <w:keepLines w:val="0"/>
              <w:pageBreakBefore w:val="0"/>
              <w:widowControl/>
              <w:kinsoku/>
              <w:wordWrap/>
              <w:topLinePunct w:val="0"/>
              <w:autoSpaceDE/>
              <w:bidi w:val="0"/>
              <w:adjustRightInd/>
              <w:spacing w:line="560" w:lineRule="exact"/>
              <w:ind w:leftChars="0"/>
              <w:jc w:val="center"/>
              <w:textAlignment w:val="center"/>
              <w:rPr>
                <w:rFonts w:ascii="宋体" w:hAnsi="宋体" w:cs="宋体"/>
                <w:color w:val="000000"/>
                <w:sz w:val="24"/>
              </w:rPr>
            </w:pPr>
            <w:r>
              <w:rPr>
                <w:rFonts w:hint="eastAsia" w:ascii="宋体" w:hAnsi="宋体" w:cs="宋体"/>
                <w:color w:val="000000"/>
                <w:kern w:val="0"/>
                <w:sz w:val="24"/>
              </w:rPr>
              <w:t>首次登记时间</w:t>
            </w:r>
          </w:p>
        </w:tc>
        <w:tc>
          <w:tcPr>
            <w:tcW w:w="1480" w:type="dxa"/>
            <w:tcMar>
              <w:top w:w="10" w:type="dxa"/>
              <w:left w:w="10" w:type="dxa"/>
              <w:right w:w="10" w:type="dxa"/>
            </w:tcMar>
            <w:vAlign w:val="center"/>
          </w:tcPr>
          <w:p w14:paraId="046C13EA">
            <w:pPr>
              <w:keepNext w:val="0"/>
              <w:keepLines w:val="0"/>
              <w:pageBreakBefore w:val="0"/>
              <w:kinsoku/>
              <w:wordWrap/>
              <w:topLinePunct w:val="0"/>
              <w:autoSpaceDE/>
              <w:bidi w:val="0"/>
              <w:adjustRightInd/>
              <w:spacing w:line="560" w:lineRule="exact"/>
              <w:ind w:leftChars="0"/>
              <w:rPr>
                <w:rFonts w:ascii="宋体" w:hAnsi="宋体" w:cs="宋体"/>
                <w:color w:val="000000"/>
                <w:sz w:val="24"/>
              </w:rPr>
            </w:pPr>
          </w:p>
        </w:tc>
      </w:tr>
      <w:tr w14:paraId="481F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exact"/>
        </w:trPr>
        <w:tc>
          <w:tcPr>
            <w:tcW w:w="1526" w:type="dxa"/>
            <w:tcMar>
              <w:top w:w="10" w:type="dxa"/>
              <w:left w:w="10" w:type="dxa"/>
              <w:right w:w="10" w:type="dxa"/>
            </w:tcMar>
            <w:vAlign w:val="center"/>
          </w:tcPr>
          <w:p w14:paraId="645243E3">
            <w:pPr>
              <w:keepNext w:val="0"/>
              <w:keepLines w:val="0"/>
              <w:pageBreakBefore w:val="0"/>
              <w:kinsoku/>
              <w:wordWrap/>
              <w:overflowPunct w:val="0"/>
              <w:topLinePunct w:val="0"/>
              <w:autoSpaceDE/>
              <w:bidi w:val="0"/>
              <w:adjustRightInd/>
              <w:spacing w:line="560" w:lineRule="exact"/>
              <w:ind w:leftChars="0"/>
              <w:jc w:val="center"/>
              <w:textAlignment w:val="center"/>
              <w:rPr>
                <w:rFonts w:ascii="宋体" w:hAnsi="宋体" w:cs="宋体"/>
                <w:color w:val="000000"/>
                <w:sz w:val="24"/>
              </w:rPr>
            </w:pPr>
            <w:r>
              <w:rPr>
                <w:rFonts w:hint="eastAsia" w:ascii="宋体" w:hAnsi="宋体" w:cs="宋体"/>
                <w:color w:val="000000"/>
                <w:kern w:val="0"/>
                <w:sz w:val="24"/>
              </w:rPr>
              <w:t>法定代表人</w:t>
            </w:r>
          </w:p>
        </w:tc>
        <w:tc>
          <w:tcPr>
            <w:tcW w:w="920" w:type="dxa"/>
            <w:tcMar>
              <w:top w:w="10" w:type="dxa"/>
              <w:left w:w="10" w:type="dxa"/>
              <w:right w:w="10" w:type="dxa"/>
            </w:tcMar>
            <w:vAlign w:val="center"/>
          </w:tcPr>
          <w:p w14:paraId="0D663388">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c>
          <w:tcPr>
            <w:tcW w:w="1290" w:type="dxa"/>
            <w:tcMar>
              <w:top w:w="10" w:type="dxa"/>
              <w:left w:w="10" w:type="dxa"/>
              <w:right w:w="10" w:type="dxa"/>
            </w:tcMar>
            <w:vAlign w:val="center"/>
          </w:tcPr>
          <w:p w14:paraId="60E5D12D">
            <w:pPr>
              <w:keepNext w:val="0"/>
              <w:keepLines w:val="0"/>
              <w:pageBreakBefore w:val="0"/>
              <w:widowControl/>
              <w:kinsoku/>
              <w:wordWrap/>
              <w:topLinePunct w:val="0"/>
              <w:autoSpaceDE/>
              <w:bidi w:val="0"/>
              <w:adjustRightInd/>
              <w:spacing w:line="560" w:lineRule="exact"/>
              <w:ind w:leftChars="0"/>
              <w:jc w:val="center"/>
              <w:textAlignment w:val="center"/>
              <w:rPr>
                <w:rFonts w:ascii="宋体" w:hAnsi="宋体" w:cs="宋体"/>
                <w:color w:val="000000"/>
                <w:sz w:val="24"/>
              </w:rPr>
            </w:pPr>
            <w:r>
              <w:rPr>
                <w:rFonts w:hint="eastAsia" w:ascii="宋体" w:hAnsi="宋体" w:cs="宋体"/>
                <w:color w:val="000000"/>
                <w:kern w:val="0"/>
                <w:sz w:val="24"/>
              </w:rPr>
              <w:t>电话</w:t>
            </w:r>
          </w:p>
        </w:tc>
        <w:tc>
          <w:tcPr>
            <w:tcW w:w="1130" w:type="dxa"/>
            <w:gridSpan w:val="2"/>
            <w:tcMar>
              <w:top w:w="10" w:type="dxa"/>
              <w:left w:w="10" w:type="dxa"/>
              <w:right w:w="10" w:type="dxa"/>
            </w:tcMar>
            <w:vAlign w:val="center"/>
          </w:tcPr>
          <w:p w14:paraId="145B5CAC">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c>
          <w:tcPr>
            <w:tcW w:w="1050" w:type="dxa"/>
            <w:tcMar>
              <w:top w:w="10" w:type="dxa"/>
              <w:left w:w="10" w:type="dxa"/>
              <w:right w:w="10" w:type="dxa"/>
            </w:tcMar>
            <w:vAlign w:val="center"/>
          </w:tcPr>
          <w:p w14:paraId="428D7D3E">
            <w:pPr>
              <w:keepNext w:val="0"/>
              <w:keepLines w:val="0"/>
              <w:pageBreakBefore w:val="0"/>
              <w:widowControl/>
              <w:kinsoku/>
              <w:wordWrap/>
              <w:topLinePunct w:val="0"/>
              <w:autoSpaceDE/>
              <w:bidi w:val="0"/>
              <w:adjustRightInd/>
              <w:spacing w:line="560" w:lineRule="exact"/>
              <w:ind w:leftChars="0"/>
              <w:jc w:val="center"/>
              <w:textAlignment w:val="center"/>
              <w:rPr>
                <w:rFonts w:ascii="宋体" w:hAnsi="宋体" w:cs="宋体"/>
                <w:color w:val="000000"/>
                <w:sz w:val="24"/>
              </w:rPr>
            </w:pPr>
            <w:r>
              <w:rPr>
                <w:rFonts w:hint="eastAsia" w:ascii="宋体" w:hAnsi="宋体" w:cs="宋体"/>
                <w:color w:val="000000"/>
                <w:kern w:val="0"/>
                <w:sz w:val="24"/>
              </w:rPr>
              <w:t>联系人</w:t>
            </w:r>
          </w:p>
        </w:tc>
        <w:tc>
          <w:tcPr>
            <w:tcW w:w="1000" w:type="dxa"/>
            <w:tcMar>
              <w:top w:w="10" w:type="dxa"/>
              <w:left w:w="10" w:type="dxa"/>
              <w:right w:w="10" w:type="dxa"/>
            </w:tcMar>
            <w:vAlign w:val="center"/>
          </w:tcPr>
          <w:p w14:paraId="503CB1E5">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c>
          <w:tcPr>
            <w:tcW w:w="1040" w:type="dxa"/>
            <w:tcMar>
              <w:top w:w="10" w:type="dxa"/>
              <w:left w:w="10" w:type="dxa"/>
              <w:right w:w="10" w:type="dxa"/>
            </w:tcMar>
            <w:vAlign w:val="center"/>
          </w:tcPr>
          <w:p w14:paraId="0ACF7AAC">
            <w:pPr>
              <w:keepNext w:val="0"/>
              <w:keepLines w:val="0"/>
              <w:pageBreakBefore w:val="0"/>
              <w:widowControl/>
              <w:kinsoku/>
              <w:wordWrap/>
              <w:topLinePunct w:val="0"/>
              <w:autoSpaceDE/>
              <w:bidi w:val="0"/>
              <w:adjustRightInd/>
              <w:spacing w:line="560" w:lineRule="exact"/>
              <w:ind w:leftChars="0"/>
              <w:jc w:val="center"/>
              <w:textAlignment w:val="center"/>
              <w:rPr>
                <w:rFonts w:ascii="宋体" w:hAnsi="宋体" w:cs="宋体"/>
                <w:color w:val="000000"/>
                <w:sz w:val="24"/>
              </w:rPr>
            </w:pPr>
            <w:r>
              <w:rPr>
                <w:rFonts w:hint="eastAsia" w:ascii="宋体" w:hAnsi="宋体" w:cs="宋体"/>
                <w:color w:val="000000"/>
                <w:kern w:val="0"/>
                <w:sz w:val="24"/>
              </w:rPr>
              <w:t>电话</w:t>
            </w:r>
          </w:p>
        </w:tc>
        <w:tc>
          <w:tcPr>
            <w:tcW w:w="1480" w:type="dxa"/>
            <w:tcMar>
              <w:top w:w="10" w:type="dxa"/>
              <w:left w:w="10" w:type="dxa"/>
              <w:right w:w="10" w:type="dxa"/>
            </w:tcMar>
            <w:vAlign w:val="center"/>
          </w:tcPr>
          <w:p w14:paraId="7CA6BB11">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r>
      <w:tr w14:paraId="64FD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exact"/>
        </w:trPr>
        <w:tc>
          <w:tcPr>
            <w:tcW w:w="1526" w:type="dxa"/>
            <w:tcMar>
              <w:top w:w="10" w:type="dxa"/>
              <w:left w:w="10" w:type="dxa"/>
              <w:right w:w="10" w:type="dxa"/>
            </w:tcMar>
            <w:vAlign w:val="center"/>
          </w:tcPr>
          <w:p w14:paraId="3612C03C">
            <w:pPr>
              <w:keepNext w:val="0"/>
              <w:keepLines w:val="0"/>
              <w:pageBreakBefore w:val="0"/>
              <w:kinsoku/>
              <w:wordWrap/>
              <w:overflowPunct w:val="0"/>
              <w:topLinePunct w:val="0"/>
              <w:autoSpaceDE/>
              <w:bidi w:val="0"/>
              <w:adjustRightInd/>
              <w:spacing w:line="560" w:lineRule="exact"/>
              <w:ind w:leftChars="0"/>
              <w:jc w:val="center"/>
              <w:textAlignment w:val="center"/>
              <w:rPr>
                <w:rFonts w:ascii="宋体" w:hAnsi="宋体" w:cs="宋体"/>
                <w:color w:val="000000"/>
                <w:sz w:val="24"/>
              </w:rPr>
            </w:pPr>
            <w:r>
              <w:rPr>
                <w:rFonts w:hint="eastAsia" w:ascii="宋体" w:hAnsi="宋体" w:cs="宋体"/>
                <w:color w:val="000000"/>
                <w:kern w:val="0"/>
                <w:sz w:val="24"/>
              </w:rPr>
              <w:t>营业地址</w:t>
            </w:r>
          </w:p>
        </w:tc>
        <w:tc>
          <w:tcPr>
            <w:tcW w:w="3340" w:type="dxa"/>
            <w:gridSpan w:val="4"/>
            <w:tcMar>
              <w:top w:w="10" w:type="dxa"/>
              <w:left w:w="10" w:type="dxa"/>
              <w:right w:w="10" w:type="dxa"/>
            </w:tcMar>
            <w:vAlign w:val="center"/>
          </w:tcPr>
          <w:p w14:paraId="26BE9CCA">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c>
          <w:tcPr>
            <w:tcW w:w="2050" w:type="dxa"/>
            <w:gridSpan w:val="2"/>
            <w:tcMar>
              <w:top w:w="10" w:type="dxa"/>
              <w:left w:w="10" w:type="dxa"/>
              <w:right w:w="10" w:type="dxa"/>
            </w:tcMar>
            <w:vAlign w:val="center"/>
          </w:tcPr>
          <w:p w14:paraId="007427F3">
            <w:pPr>
              <w:keepNext w:val="0"/>
              <w:keepLines w:val="0"/>
              <w:pageBreakBefore w:val="0"/>
              <w:widowControl/>
              <w:kinsoku/>
              <w:wordWrap/>
              <w:topLinePunct w:val="0"/>
              <w:autoSpaceDE/>
              <w:bidi w:val="0"/>
              <w:adjustRightInd/>
              <w:spacing w:line="560" w:lineRule="exact"/>
              <w:ind w:leftChars="0"/>
              <w:jc w:val="center"/>
              <w:textAlignment w:val="center"/>
              <w:rPr>
                <w:rFonts w:ascii="宋体" w:hAnsi="宋体" w:cs="宋体"/>
                <w:color w:val="000000"/>
                <w:sz w:val="24"/>
              </w:rPr>
            </w:pPr>
            <w:r>
              <w:rPr>
                <w:rFonts w:hint="eastAsia" w:ascii="宋体" w:hAnsi="宋体" w:cs="宋体"/>
                <w:color w:val="000000"/>
                <w:kern w:val="0"/>
                <w:sz w:val="24"/>
              </w:rPr>
              <w:t>统一社会信用代码</w:t>
            </w:r>
          </w:p>
        </w:tc>
        <w:tc>
          <w:tcPr>
            <w:tcW w:w="2520" w:type="dxa"/>
            <w:gridSpan w:val="2"/>
            <w:tcMar>
              <w:top w:w="10" w:type="dxa"/>
              <w:left w:w="10" w:type="dxa"/>
              <w:right w:w="10" w:type="dxa"/>
            </w:tcMar>
            <w:vAlign w:val="center"/>
          </w:tcPr>
          <w:p w14:paraId="35B84719">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r>
      <w:tr w14:paraId="22A2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exact"/>
        </w:trPr>
        <w:tc>
          <w:tcPr>
            <w:tcW w:w="9436" w:type="dxa"/>
            <w:gridSpan w:val="9"/>
            <w:tcMar>
              <w:top w:w="10" w:type="dxa"/>
              <w:left w:w="10" w:type="dxa"/>
              <w:right w:w="10" w:type="dxa"/>
            </w:tcMar>
            <w:vAlign w:val="center"/>
          </w:tcPr>
          <w:p w14:paraId="07B9CEBA">
            <w:pPr>
              <w:keepNext w:val="0"/>
              <w:keepLines w:val="0"/>
              <w:pageBreakBefore w:val="0"/>
              <w:kinsoku/>
              <w:wordWrap/>
              <w:overflowPunct w:val="0"/>
              <w:topLinePunct w:val="0"/>
              <w:autoSpaceDE/>
              <w:bidi w:val="0"/>
              <w:adjustRightInd/>
              <w:spacing w:line="560" w:lineRule="exact"/>
              <w:ind w:leftChars="0"/>
              <w:jc w:val="center"/>
              <w:textAlignment w:val="center"/>
              <w:rPr>
                <w:rFonts w:ascii="宋体" w:hAnsi="宋体" w:cs="宋体"/>
                <w:color w:val="000000"/>
                <w:sz w:val="24"/>
              </w:rPr>
            </w:pPr>
            <w:r>
              <w:rPr>
                <w:rFonts w:hint="eastAsia" w:ascii="宋体" w:hAnsi="宋体" w:cs="宋体"/>
                <w:color w:val="000000"/>
                <w:kern w:val="0"/>
                <w:sz w:val="24"/>
              </w:rPr>
              <w:t>代理项目情况（若数量多可另附表）</w:t>
            </w:r>
          </w:p>
        </w:tc>
      </w:tr>
      <w:tr w14:paraId="4427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trPr>
        <w:tc>
          <w:tcPr>
            <w:tcW w:w="4815" w:type="dxa"/>
            <w:gridSpan w:val="4"/>
            <w:tcMar>
              <w:top w:w="10" w:type="dxa"/>
              <w:left w:w="10" w:type="dxa"/>
              <w:right w:w="10" w:type="dxa"/>
            </w:tcMar>
            <w:vAlign w:val="center"/>
          </w:tcPr>
          <w:p w14:paraId="2342B9B1">
            <w:pPr>
              <w:keepNext w:val="0"/>
              <w:keepLines w:val="0"/>
              <w:pageBreakBefore w:val="0"/>
              <w:kinsoku/>
              <w:wordWrap/>
              <w:overflowPunct w:val="0"/>
              <w:topLinePunct w:val="0"/>
              <w:autoSpaceDE/>
              <w:bidi w:val="0"/>
              <w:adjustRightInd/>
              <w:spacing w:line="560" w:lineRule="exact"/>
              <w:ind w:leftChars="0"/>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2101" w:type="dxa"/>
            <w:gridSpan w:val="3"/>
            <w:tcMar>
              <w:top w:w="10" w:type="dxa"/>
              <w:left w:w="10" w:type="dxa"/>
              <w:right w:w="10" w:type="dxa"/>
            </w:tcMar>
            <w:vAlign w:val="center"/>
          </w:tcPr>
          <w:p w14:paraId="3EE51B3B">
            <w:pPr>
              <w:keepNext w:val="0"/>
              <w:keepLines w:val="0"/>
              <w:pageBreakBefore w:val="0"/>
              <w:widowControl/>
              <w:kinsoku/>
              <w:wordWrap/>
              <w:topLinePunct w:val="0"/>
              <w:autoSpaceDE/>
              <w:bidi w:val="0"/>
              <w:adjustRightInd/>
              <w:spacing w:line="560" w:lineRule="exact"/>
              <w:ind w:leftChars="0"/>
              <w:jc w:val="center"/>
              <w:textAlignment w:val="center"/>
              <w:rPr>
                <w:rFonts w:ascii="宋体" w:hAnsi="宋体" w:cs="宋体"/>
                <w:color w:val="000000"/>
                <w:sz w:val="24"/>
              </w:rPr>
            </w:pPr>
            <w:r>
              <w:rPr>
                <w:rFonts w:hint="eastAsia" w:ascii="宋体" w:hAnsi="宋体" w:cs="宋体"/>
                <w:color w:val="000000"/>
                <w:kern w:val="0"/>
                <w:sz w:val="24"/>
              </w:rPr>
              <w:t>项目编号</w:t>
            </w:r>
          </w:p>
        </w:tc>
        <w:tc>
          <w:tcPr>
            <w:tcW w:w="2520" w:type="dxa"/>
            <w:gridSpan w:val="2"/>
            <w:tcMar>
              <w:top w:w="10" w:type="dxa"/>
              <w:left w:w="10" w:type="dxa"/>
              <w:right w:w="10" w:type="dxa"/>
            </w:tcMar>
            <w:vAlign w:val="center"/>
          </w:tcPr>
          <w:p w14:paraId="19B7F2EB">
            <w:pPr>
              <w:keepNext w:val="0"/>
              <w:keepLines w:val="0"/>
              <w:pageBreakBefore w:val="0"/>
              <w:widowControl/>
              <w:kinsoku/>
              <w:wordWrap/>
              <w:topLinePunct w:val="0"/>
              <w:autoSpaceDE/>
              <w:bidi w:val="0"/>
              <w:adjustRightInd/>
              <w:spacing w:line="560" w:lineRule="exact"/>
              <w:ind w:leftChars="0"/>
              <w:jc w:val="center"/>
              <w:textAlignment w:val="center"/>
              <w:rPr>
                <w:rFonts w:ascii="宋体" w:hAnsi="宋体" w:cs="宋体"/>
                <w:color w:val="000000"/>
                <w:sz w:val="24"/>
              </w:rPr>
            </w:pPr>
            <w:r>
              <w:rPr>
                <w:rFonts w:hint="eastAsia" w:ascii="宋体" w:hAnsi="宋体" w:cs="宋体"/>
                <w:color w:val="000000"/>
                <w:kern w:val="0"/>
                <w:sz w:val="24"/>
              </w:rPr>
              <w:t>是否已移交档案</w:t>
            </w:r>
          </w:p>
        </w:tc>
      </w:tr>
      <w:tr w14:paraId="69F6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4815" w:type="dxa"/>
            <w:gridSpan w:val="4"/>
            <w:tcMar>
              <w:top w:w="10" w:type="dxa"/>
              <w:left w:w="10" w:type="dxa"/>
              <w:right w:w="10" w:type="dxa"/>
            </w:tcMar>
            <w:vAlign w:val="center"/>
          </w:tcPr>
          <w:p w14:paraId="1D79339E">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c>
          <w:tcPr>
            <w:tcW w:w="2101" w:type="dxa"/>
            <w:gridSpan w:val="3"/>
            <w:tcMar>
              <w:top w:w="10" w:type="dxa"/>
              <w:left w:w="10" w:type="dxa"/>
              <w:right w:w="10" w:type="dxa"/>
            </w:tcMar>
            <w:vAlign w:val="center"/>
          </w:tcPr>
          <w:p w14:paraId="06A646AD">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c>
          <w:tcPr>
            <w:tcW w:w="2520" w:type="dxa"/>
            <w:gridSpan w:val="2"/>
            <w:tcMar>
              <w:top w:w="10" w:type="dxa"/>
              <w:left w:w="10" w:type="dxa"/>
              <w:right w:w="10" w:type="dxa"/>
            </w:tcMar>
            <w:vAlign w:val="center"/>
          </w:tcPr>
          <w:p w14:paraId="5741FE2C">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r>
      <w:tr w14:paraId="3779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4815" w:type="dxa"/>
            <w:gridSpan w:val="4"/>
            <w:tcMar>
              <w:top w:w="10" w:type="dxa"/>
              <w:left w:w="10" w:type="dxa"/>
              <w:right w:w="10" w:type="dxa"/>
            </w:tcMar>
            <w:vAlign w:val="center"/>
          </w:tcPr>
          <w:p w14:paraId="0E36DE21">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c>
          <w:tcPr>
            <w:tcW w:w="2101" w:type="dxa"/>
            <w:gridSpan w:val="3"/>
            <w:tcMar>
              <w:top w:w="10" w:type="dxa"/>
              <w:left w:w="10" w:type="dxa"/>
              <w:right w:w="10" w:type="dxa"/>
            </w:tcMar>
            <w:vAlign w:val="center"/>
          </w:tcPr>
          <w:p w14:paraId="04D0810C">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c>
          <w:tcPr>
            <w:tcW w:w="2520" w:type="dxa"/>
            <w:gridSpan w:val="2"/>
            <w:tcMar>
              <w:top w:w="10" w:type="dxa"/>
              <w:left w:w="10" w:type="dxa"/>
              <w:right w:w="10" w:type="dxa"/>
            </w:tcMar>
            <w:vAlign w:val="center"/>
          </w:tcPr>
          <w:p w14:paraId="14E8A518">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r>
      <w:tr w14:paraId="6325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4815" w:type="dxa"/>
            <w:gridSpan w:val="4"/>
            <w:tcMar>
              <w:top w:w="10" w:type="dxa"/>
              <w:left w:w="10" w:type="dxa"/>
              <w:right w:w="10" w:type="dxa"/>
            </w:tcMar>
            <w:vAlign w:val="center"/>
          </w:tcPr>
          <w:p w14:paraId="30AEBF0C">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c>
          <w:tcPr>
            <w:tcW w:w="2101" w:type="dxa"/>
            <w:gridSpan w:val="3"/>
            <w:tcMar>
              <w:top w:w="10" w:type="dxa"/>
              <w:left w:w="10" w:type="dxa"/>
              <w:right w:w="10" w:type="dxa"/>
            </w:tcMar>
            <w:vAlign w:val="center"/>
          </w:tcPr>
          <w:p w14:paraId="0F793E21">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c>
          <w:tcPr>
            <w:tcW w:w="2520" w:type="dxa"/>
            <w:gridSpan w:val="2"/>
            <w:tcMar>
              <w:top w:w="10" w:type="dxa"/>
              <w:left w:w="10" w:type="dxa"/>
              <w:right w:w="10" w:type="dxa"/>
            </w:tcMar>
            <w:vAlign w:val="center"/>
          </w:tcPr>
          <w:p w14:paraId="7BC04D97">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r>
      <w:tr w14:paraId="3527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4815" w:type="dxa"/>
            <w:gridSpan w:val="4"/>
            <w:tcMar>
              <w:top w:w="10" w:type="dxa"/>
              <w:left w:w="10" w:type="dxa"/>
              <w:right w:w="10" w:type="dxa"/>
            </w:tcMar>
            <w:vAlign w:val="center"/>
          </w:tcPr>
          <w:p w14:paraId="77918C99">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c>
          <w:tcPr>
            <w:tcW w:w="2101" w:type="dxa"/>
            <w:gridSpan w:val="3"/>
            <w:tcMar>
              <w:top w:w="10" w:type="dxa"/>
              <w:left w:w="10" w:type="dxa"/>
              <w:right w:w="10" w:type="dxa"/>
            </w:tcMar>
            <w:vAlign w:val="center"/>
          </w:tcPr>
          <w:p w14:paraId="34DF02DC">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c>
          <w:tcPr>
            <w:tcW w:w="2520" w:type="dxa"/>
            <w:gridSpan w:val="2"/>
            <w:tcMar>
              <w:top w:w="10" w:type="dxa"/>
              <w:left w:w="10" w:type="dxa"/>
              <w:right w:w="10" w:type="dxa"/>
            </w:tcMar>
            <w:vAlign w:val="center"/>
          </w:tcPr>
          <w:p w14:paraId="6504FDAE">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r>
      <w:tr w14:paraId="585B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4815" w:type="dxa"/>
            <w:gridSpan w:val="4"/>
            <w:tcMar>
              <w:top w:w="10" w:type="dxa"/>
              <w:left w:w="10" w:type="dxa"/>
              <w:right w:w="10" w:type="dxa"/>
            </w:tcMar>
            <w:vAlign w:val="center"/>
          </w:tcPr>
          <w:p w14:paraId="18B47F12">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c>
          <w:tcPr>
            <w:tcW w:w="2101" w:type="dxa"/>
            <w:gridSpan w:val="3"/>
            <w:tcMar>
              <w:top w:w="10" w:type="dxa"/>
              <w:left w:w="10" w:type="dxa"/>
              <w:right w:w="10" w:type="dxa"/>
            </w:tcMar>
            <w:vAlign w:val="center"/>
          </w:tcPr>
          <w:p w14:paraId="37616AEF">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c>
          <w:tcPr>
            <w:tcW w:w="2520" w:type="dxa"/>
            <w:gridSpan w:val="2"/>
            <w:tcMar>
              <w:top w:w="10" w:type="dxa"/>
              <w:left w:w="10" w:type="dxa"/>
              <w:right w:w="10" w:type="dxa"/>
            </w:tcMar>
            <w:vAlign w:val="center"/>
          </w:tcPr>
          <w:p w14:paraId="06725C30">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r>
      <w:tr w14:paraId="33F2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4815" w:type="dxa"/>
            <w:gridSpan w:val="4"/>
            <w:tcMar>
              <w:top w:w="10" w:type="dxa"/>
              <w:left w:w="10" w:type="dxa"/>
              <w:right w:w="10" w:type="dxa"/>
            </w:tcMar>
            <w:vAlign w:val="center"/>
          </w:tcPr>
          <w:p w14:paraId="0A73FE07">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c>
          <w:tcPr>
            <w:tcW w:w="2101" w:type="dxa"/>
            <w:gridSpan w:val="3"/>
            <w:tcMar>
              <w:top w:w="10" w:type="dxa"/>
              <w:left w:w="10" w:type="dxa"/>
              <w:right w:w="10" w:type="dxa"/>
            </w:tcMar>
            <w:vAlign w:val="center"/>
          </w:tcPr>
          <w:p w14:paraId="1533777F">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c>
          <w:tcPr>
            <w:tcW w:w="2520" w:type="dxa"/>
            <w:gridSpan w:val="2"/>
            <w:tcMar>
              <w:top w:w="10" w:type="dxa"/>
              <w:left w:w="10" w:type="dxa"/>
              <w:right w:w="10" w:type="dxa"/>
            </w:tcMar>
            <w:vAlign w:val="center"/>
          </w:tcPr>
          <w:p w14:paraId="73B7B8CD">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r>
      <w:tr w14:paraId="317D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4815" w:type="dxa"/>
            <w:gridSpan w:val="4"/>
            <w:tcMar>
              <w:top w:w="10" w:type="dxa"/>
              <w:left w:w="10" w:type="dxa"/>
              <w:right w:w="10" w:type="dxa"/>
            </w:tcMar>
            <w:vAlign w:val="center"/>
          </w:tcPr>
          <w:p w14:paraId="5EE9BC1D">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c>
          <w:tcPr>
            <w:tcW w:w="2101" w:type="dxa"/>
            <w:gridSpan w:val="3"/>
            <w:tcMar>
              <w:top w:w="10" w:type="dxa"/>
              <w:left w:w="10" w:type="dxa"/>
              <w:right w:w="10" w:type="dxa"/>
            </w:tcMar>
            <w:vAlign w:val="center"/>
          </w:tcPr>
          <w:p w14:paraId="3187DFBE">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c>
          <w:tcPr>
            <w:tcW w:w="2520" w:type="dxa"/>
            <w:gridSpan w:val="2"/>
            <w:tcMar>
              <w:top w:w="10" w:type="dxa"/>
              <w:left w:w="10" w:type="dxa"/>
              <w:right w:w="10" w:type="dxa"/>
            </w:tcMar>
            <w:vAlign w:val="center"/>
          </w:tcPr>
          <w:p w14:paraId="50CA502C">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r>
      <w:tr w14:paraId="0FE0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4815" w:type="dxa"/>
            <w:gridSpan w:val="4"/>
            <w:tcMar>
              <w:top w:w="10" w:type="dxa"/>
              <w:left w:w="10" w:type="dxa"/>
              <w:right w:w="10" w:type="dxa"/>
            </w:tcMar>
            <w:vAlign w:val="center"/>
          </w:tcPr>
          <w:p w14:paraId="32E9BFF6">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c>
          <w:tcPr>
            <w:tcW w:w="2101" w:type="dxa"/>
            <w:gridSpan w:val="3"/>
            <w:tcMar>
              <w:top w:w="10" w:type="dxa"/>
              <w:left w:w="10" w:type="dxa"/>
              <w:right w:w="10" w:type="dxa"/>
            </w:tcMar>
            <w:vAlign w:val="center"/>
          </w:tcPr>
          <w:p w14:paraId="7943E6D6">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c>
          <w:tcPr>
            <w:tcW w:w="2520" w:type="dxa"/>
            <w:gridSpan w:val="2"/>
            <w:tcMar>
              <w:top w:w="10" w:type="dxa"/>
              <w:left w:w="10" w:type="dxa"/>
              <w:right w:w="10" w:type="dxa"/>
            </w:tcMar>
            <w:vAlign w:val="center"/>
          </w:tcPr>
          <w:p w14:paraId="5C7D6BAD">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r>
      <w:tr w14:paraId="2596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4815" w:type="dxa"/>
            <w:gridSpan w:val="4"/>
            <w:tcMar>
              <w:top w:w="10" w:type="dxa"/>
              <w:left w:w="10" w:type="dxa"/>
              <w:right w:w="10" w:type="dxa"/>
            </w:tcMar>
            <w:vAlign w:val="center"/>
          </w:tcPr>
          <w:p w14:paraId="241A818D">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c>
          <w:tcPr>
            <w:tcW w:w="2101" w:type="dxa"/>
            <w:gridSpan w:val="3"/>
            <w:tcMar>
              <w:top w:w="10" w:type="dxa"/>
              <w:left w:w="10" w:type="dxa"/>
              <w:right w:w="10" w:type="dxa"/>
            </w:tcMar>
            <w:vAlign w:val="center"/>
          </w:tcPr>
          <w:p w14:paraId="2D9F4659">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c>
          <w:tcPr>
            <w:tcW w:w="2520" w:type="dxa"/>
            <w:gridSpan w:val="2"/>
            <w:tcMar>
              <w:top w:w="10" w:type="dxa"/>
              <w:left w:w="10" w:type="dxa"/>
              <w:right w:w="10" w:type="dxa"/>
            </w:tcMar>
            <w:vAlign w:val="center"/>
          </w:tcPr>
          <w:p w14:paraId="265A7778">
            <w:pPr>
              <w:keepNext w:val="0"/>
              <w:keepLines w:val="0"/>
              <w:pageBreakBefore w:val="0"/>
              <w:kinsoku/>
              <w:wordWrap/>
              <w:topLinePunct w:val="0"/>
              <w:autoSpaceDE/>
              <w:bidi w:val="0"/>
              <w:adjustRightInd/>
              <w:spacing w:line="560" w:lineRule="exact"/>
              <w:ind w:leftChars="0"/>
              <w:jc w:val="center"/>
              <w:rPr>
                <w:rFonts w:ascii="宋体" w:hAnsi="宋体" w:cs="宋体"/>
                <w:color w:val="000000"/>
                <w:sz w:val="24"/>
              </w:rPr>
            </w:pPr>
          </w:p>
        </w:tc>
      </w:tr>
      <w:tr w14:paraId="0BE8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exact"/>
        </w:trPr>
        <w:tc>
          <w:tcPr>
            <w:tcW w:w="9436" w:type="dxa"/>
            <w:gridSpan w:val="9"/>
            <w:tcMar>
              <w:top w:w="10" w:type="dxa"/>
              <w:left w:w="10" w:type="dxa"/>
              <w:right w:w="10" w:type="dxa"/>
            </w:tcMar>
            <w:vAlign w:val="center"/>
          </w:tcPr>
          <w:p w14:paraId="25982B96">
            <w:pPr>
              <w:keepNext w:val="0"/>
              <w:keepLines w:val="0"/>
              <w:pageBreakBefore w:val="0"/>
              <w:kinsoku/>
              <w:wordWrap/>
              <w:overflowPunct w:val="0"/>
              <w:topLinePunct w:val="0"/>
              <w:autoSpaceDE/>
              <w:bidi w:val="0"/>
              <w:adjustRightInd/>
              <w:spacing w:line="560" w:lineRule="exact"/>
              <w:ind w:leftChars="0"/>
              <w:jc w:val="center"/>
              <w:textAlignment w:val="center"/>
              <w:rPr>
                <w:rFonts w:ascii="宋体" w:hAnsi="宋体" w:cs="宋体"/>
                <w:color w:val="000000"/>
                <w:sz w:val="24"/>
              </w:rPr>
            </w:pPr>
            <w:r>
              <w:rPr>
                <w:rFonts w:hint="eastAsia" w:ascii="宋体" w:hAnsi="宋体" w:cs="宋体"/>
                <w:color w:val="000000"/>
                <w:kern w:val="0"/>
                <w:sz w:val="24"/>
              </w:rPr>
              <w:t xml:space="preserve"> 申请注销原因</w:t>
            </w:r>
          </w:p>
        </w:tc>
      </w:tr>
      <w:tr w14:paraId="0B9D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exact"/>
        </w:trPr>
        <w:tc>
          <w:tcPr>
            <w:tcW w:w="9436" w:type="dxa"/>
            <w:gridSpan w:val="9"/>
            <w:vMerge w:val="restart"/>
            <w:tcMar>
              <w:top w:w="10" w:type="dxa"/>
              <w:left w:w="10" w:type="dxa"/>
              <w:right w:w="10" w:type="dxa"/>
            </w:tcMar>
            <w:vAlign w:val="center"/>
          </w:tcPr>
          <w:p w14:paraId="3C725584">
            <w:pPr>
              <w:keepNext w:val="0"/>
              <w:keepLines w:val="0"/>
              <w:pageBreakBefore w:val="0"/>
              <w:tabs>
                <w:tab w:val="left" w:pos="1922"/>
              </w:tabs>
              <w:kinsoku/>
              <w:wordWrap/>
              <w:overflowPunct w:val="0"/>
              <w:topLinePunct w:val="0"/>
              <w:autoSpaceDE/>
              <w:bidi w:val="0"/>
              <w:adjustRightInd/>
              <w:spacing w:line="560" w:lineRule="exact"/>
              <w:ind w:leftChars="0"/>
              <w:jc w:val="left"/>
              <w:rPr>
                <w:rFonts w:ascii="宋体" w:hAnsi="宋体" w:cs="宋体"/>
                <w:color w:val="000000"/>
                <w:sz w:val="24"/>
              </w:rPr>
            </w:pPr>
          </w:p>
          <w:p w14:paraId="553E6511">
            <w:pPr>
              <w:keepNext w:val="0"/>
              <w:keepLines w:val="0"/>
              <w:pageBreakBefore w:val="0"/>
              <w:tabs>
                <w:tab w:val="left" w:pos="1922"/>
              </w:tabs>
              <w:kinsoku/>
              <w:wordWrap/>
              <w:overflowPunct w:val="0"/>
              <w:topLinePunct w:val="0"/>
              <w:autoSpaceDE/>
              <w:bidi w:val="0"/>
              <w:adjustRightInd/>
              <w:spacing w:line="560" w:lineRule="exact"/>
              <w:ind w:leftChars="0"/>
              <w:jc w:val="left"/>
              <w:rPr>
                <w:rFonts w:ascii="宋体" w:hAnsi="宋体" w:cs="宋体"/>
                <w:color w:val="000000"/>
                <w:sz w:val="24"/>
              </w:rPr>
            </w:pPr>
          </w:p>
          <w:p w14:paraId="7873B115">
            <w:pPr>
              <w:keepNext w:val="0"/>
              <w:keepLines w:val="0"/>
              <w:pageBreakBefore w:val="0"/>
              <w:tabs>
                <w:tab w:val="left" w:pos="1922"/>
              </w:tabs>
              <w:kinsoku/>
              <w:wordWrap/>
              <w:overflowPunct w:val="0"/>
              <w:topLinePunct w:val="0"/>
              <w:autoSpaceDE/>
              <w:bidi w:val="0"/>
              <w:adjustRightInd/>
              <w:spacing w:line="560" w:lineRule="exact"/>
              <w:ind w:leftChars="0"/>
              <w:jc w:val="left"/>
              <w:rPr>
                <w:rFonts w:ascii="宋体" w:hAnsi="宋体" w:cs="宋体"/>
                <w:color w:val="000000"/>
                <w:sz w:val="24"/>
              </w:rPr>
            </w:pPr>
          </w:p>
          <w:p w14:paraId="429CFBFD">
            <w:pPr>
              <w:keepNext w:val="0"/>
              <w:keepLines w:val="0"/>
              <w:pageBreakBefore w:val="0"/>
              <w:tabs>
                <w:tab w:val="left" w:pos="1922"/>
              </w:tabs>
              <w:kinsoku/>
              <w:wordWrap/>
              <w:overflowPunct w:val="0"/>
              <w:topLinePunct w:val="0"/>
              <w:autoSpaceDE/>
              <w:bidi w:val="0"/>
              <w:adjustRightInd/>
              <w:spacing w:line="560" w:lineRule="exact"/>
              <w:ind w:leftChars="0"/>
              <w:jc w:val="left"/>
              <w:rPr>
                <w:rFonts w:ascii="宋体" w:hAnsi="宋体" w:cs="宋体"/>
                <w:color w:val="000000"/>
                <w:sz w:val="24"/>
              </w:rPr>
            </w:pPr>
          </w:p>
          <w:p w14:paraId="08D8E450">
            <w:pPr>
              <w:keepNext w:val="0"/>
              <w:keepLines w:val="0"/>
              <w:pageBreakBefore w:val="0"/>
              <w:tabs>
                <w:tab w:val="left" w:pos="1922"/>
              </w:tabs>
              <w:kinsoku/>
              <w:wordWrap/>
              <w:overflowPunct w:val="0"/>
              <w:topLinePunct w:val="0"/>
              <w:autoSpaceDE/>
              <w:bidi w:val="0"/>
              <w:adjustRightInd/>
              <w:spacing w:line="560" w:lineRule="exact"/>
              <w:ind w:leftChars="0"/>
              <w:jc w:val="left"/>
              <w:rPr>
                <w:rFonts w:ascii="宋体" w:hAnsi="宋体" w:cs="宋体"/>
                <w:color w:val="000000"/>
                <w:sz w:val="24"/>
              </w:rPr>
            </w:pPr>
          </w:p>
          <w:p w14:paraId="24083242">
            <w:pPr>
              <w:keepNext w:val="0"/>
              <w:keepLines w:val="0"/>
              <w:pageBreakBefore w:val="0"/>
              <w:tabs>
                <w:tab w:val="left" w:pos="1922"/>
              </w:tabs>
              <w:kinsoku/>
              <w:wordWrap/>
              <w:overflowPunct w:val="0"/>
              <w:topLinePunct w:val="0"/>
              <w:autoSpaceDE/>
              <w:bidi w:val="0"/>
              <w:adjustRightInd/>
              <w:spacing w:line="560" w:lineRule="exact"/>
              <w:ind w:leftChars="0"/>
              <w:jc w:val="left"/>
              <w:rPr>
                <w:rFonts w:ascii="宋体" w:hAnsi="宋体" w:cs="宋体"/>
                <w:color w:val="000000"/>
                <w:sz w:val="24"/>
              </w:rPr>
            </w:pPr>
          </w:p>
          <w:p w14:paraId="1FFE17D7">
            <w:pPr>
              <w:keepNext w:val="0"/>
              <w:keepLines w:val="0"/>
              <w:pageBreakBefore w:val="0"/>
              <w:tabs>
                <w:tab w:val="left" w:pos="1922"/>
              </w:tabs>
              <w:kinsoku/>
              <w:wordWrap/>
              <w:overflowPunct w:val="0"/>
              <w:topLinePunct w:val="0"/>
              <w:autoSpaceDE/>
              <w:bidi w:val="0"/>
              <w:adjustRightInd/>
              <w:spacing w:line="560" w:lineRule="exact"/>
              <w:ind w:leftChars="0"/>
              <w:jc w:val="left"/>
              <w:rPr>
                <w:rFonts w:ascii="宋体" w:hAnsi="宋体" w:cs="宋体"/>
                <w:color w:val="000000"/>
                <w:sz w:val="24"/>
              </w:rPr>
            </w:pPr>
          </w:p>
          <w:p w14:paraId="1EE0A331">
            <w:pPr>
              <w:keepNext w:val="0"/>
              <w:keepLines w:val="0"/>
              <w:pageBreakBefore w:val="0"/>
              <w:tabs>
                <w:tab w:val="left" w:pos="1922"/>
              </w:tabs>
              <w:kinsoku/>
              <w:wordWrap/>
              <w:overflowPunct w:val="0"/>
              <w:topLinePunct w:val="0"/>
              <w:autoSpaceDE/>
              <w:bidi w:val="0"/>
              <w:adjustRightInd/>
              <w:spacing w:line="560" w:lineRule="exact"/>
              <w:ind w:leftChars="0"/>
              <w:jc w:val="left"/>
              <w:rPr>
                <w:rFonts w:ascii="宋体" w:hAnsi="宋体" w:cs="宋体"/>
                <w:color w:val="000000"/>
                <w:sz w:val="24"/>
              </w:rPr>
            </w:pPr>
          </w:p>
          <w:p w14:paraId="5481C8B7">
            <w:pPr>
              <w:keepNext w:val="0"/>
              <w:keepLines w:val="0"/>
              <w:pageBreakBefore w:val="0"/>
              <w:tabs>
                <w:tab w:val="left" w:pos="1922"/>
              </w:tabs>
              <w:kinsoku/>
              <w:wordWrap/>
              <w:overflowPunct w:val="0"/>
              <w:topLinePunct w:val="0"/>
              <w:autoSpaceDE/>
              <w:bidi w:val="0"/>
              <w:adjustRightInd/>
              <w:spacing w:line="560" w:lineRule="exact"/>
              <w:ind w:leftChars="0"/>
              <w:jc w:val="left"/>
              <w:rPr>
                <w:rFonts w:ascii="宋体" w:hAnsi="宋体" w:cs="宋体"/>
                <w:color w:val="000000"/>
                <w:sz w:val="24"/>
              </w:rPr>
            </w:pPr>
          </w:p>
          <w:p w14:paraId="794F35EB">
            <w:pPr>
              <w:keepNext w:val="0"/>
              <w:keepLines w:val="0"/>
              <w:pageBreakBefore w:val="0"/>
              <w:tabs>
                <w:tab w:val="left" w:pos="1922"/>
              </w:tabs>
              <w:kinsoku/>
              <w:wordWrap/>
              <w:overflowPunct w:val="0"/>
              <w:topLinePunct w:val="0"/>
              <w:autoSpaceDE/>
              <w:bidi w:val="0"/>
              <w:adjustRightInd/>
              <w:spacing w:line="560" w:lineRule="exact"/>
              <w:ind w:leftChars="0"/>
              <w:jc w:val="left"/>
              <w:rPr>
                <w:rFonts w:ascii="宋体" w:hAnsi="宋体" w:cs="宋体"/>
                <w:color w:val="000000"/>
                <w:sz w:val="24"/>
              </w:rPr>
            </w:pPr>
          </w:p>
          <w:p w14:paraId="3B2E6229">
            <w:pPr>
              <w:keepNext w:val="0"/>
              <w:keepLines w:val="0"/>
              <w:pageBreakBefore w:val="0"/>
              <w:tabs>
                <w:tab w:val="left" w:pos="1922"/>
              </w:tabs>
              <w:kinsoku/>
              <w:wordWrap/>
              <w:overflowPunct w:val="0"/>
              <w:topLinePunct w:val="0"/>
              <w:autoSpaceDE/>
              <w:bidi w:val="0"/>
              <w:adjustRightInd/>
              <w:spacing w:line="560" w:lineRule="exact"/>
              <w:ind w:leftChars="0"/>
              <w:jc w:val="left"/>
              <w:rPr>
                <w:rFonts w:ascii="宋体" w:hAnsi="宋体" w:cs="宋体"/>
                <w:color w:val="000000"/>
                <w:sz w:val="24"/>
              </w:rPr>
            </w:pPr>
          </w:p>
          <w:p w14:paraId="2DF2EDC2">
            <w:pPr>
              <w:keepNext w:val="0"/>
              <w:keepLines w:val="0"/>
              <w:pageBreakBefore w:val="0"/>
              <w:tabs>
                <w:tab w:val="left" w:pos="1922"/>
              </w:tabs>
              <w:kinsoku/>
              <w:wordWrap/>
              <w:overflowPunct w:val="0"/>
              <w:topLinePunct w:val="0"/>
              <w:autoSpaceDE/>
              <w:bidi w:val="0"/>
              <w:adjustRightInd/>
              <w:spacing w:line="560" w:lineRule="exact"/>
              <w:ind w:leftChars="0"/>
              <w:jc w:val="left"/>
              <w:rPr>
                <w:rFonts w:ascii="宋体" w:hAnsi="宋体" w:cs="宋体"/>
                <w:color w:val="000000"/>
                <w:sz w:val="24"/>
              </w:rPr>
            </w:pPr>
          </w:p>
          <w:p w14:paraId="2909C216">
            <w:pPr>
              <w:keepNext w:val="0"/>
              <w:keepLines w:val="0"/>
              <w:pageBreakBefore w:val="0"/>
              <w:tabs>
                <w:tab w:val="left" w:pos="1922"/>
              </w:tabs>
              <w:kinsoku/>
              <w:wordWrap/>
              <w:overflowPunct w:val="0"/>
              <w:topLinePunct w:val="0"/>
              <w:autoSpaceDE/>
              <w:bidi w:val="0"/>
              <w:adjustRightInd/>
              <w:spacing w:line="560" w:lineRule="exact"/>
              <w:ind w:leftChars="0"/>
              <w:jc w:val="left"/>
              <w:rPr>
                <w:rFonts w:ascii="宋体" w:hAnsi="宋体" w:cs="宋体"/>
                <w:color w:val="000000"/>
                <w:sz w:val="24"/>
              </w:rPr>
            </w:pPr>
          </w:p>
          <w:p w14:paraId="33B9E550">
            <w:pPr>
              <w:keepNext w:val="0"/>
              <w:keepLines w:val="0"/>
              <w:pageBreakBefore w:val="0"/>
              <w:tabs>
                <w:tab w:val="left" w:pos="1922"/>
              </w:tabs>
              <w:kinsoku/>
              <w:wordWrap/>
              <w:overflowPunct w:val="0"/>
              <w:topLinePunct w:val="0"/>
              <w:autoSpaceDE/>
              <w:bidi w:val="0"/>
              <w:adjustRightInd/>
              <w:spacing w:line="560" w:lineRule="exact"/>
              <w:ind w:leftChars="0"/>
              <w:jc w:val="left"/>
              <w:rPr>
                <w:rFonts w:ascii="宋体" w:hAnsi="宋体" w:cs="宋体"/>
                <w:color w:val="000000"/>
                <w:sz w:val="24"/>
              </w:rPr>
            </w:pPr>
          </w:p>
          <w:p w14:paraId="23E53230">
            <w:pPr>
              <w:keepNext w:val="0"/>
              <w:keepLines w:val="0"/>
              <w:pageBreakBefore w:val="0"/>
              <w:tabs>
                <w:tab w:val="left" w:pos="1922"/>
              </w:tabs>
              <w:kinsoku/>
              <w:wordWrap/>
              <w:overflowPunct w:val="0"/>
              <w:topLinePunct w:val="0"/>
              <w:autoSpaceDE/>
              <w:bidi w:val="0"/>
              <w:adjustRightInd/>
              <w:spacing w:line="560" w:lineRule="exact"/>
              <w:ind w:leftChars="0"/>
              <w:jc w:val="left"/>
              <w:rPr>
                <w:rFonts w:ascii="宋体" w:hAnsi="宋体" w:cs="宋体"/>
                <w:color w:val="000000"/>
                <w:sz w:val="24"/>
              </w:rPr>
            </w:pPr>
          </w:p>
          <w:p w14:paraId="4734D33B">
            <w:pPr>
              <w:keepNext w:val="0"/>
              <w:keepLines w:val="0"/>
              <w:pageBreakBefore w:val="0"/>
              <w:tabs>
                <w:tab w:val="left" w:pos="1922"/>
              </w:tabs>
              <w:kinsoku/>
              <w:wordWrap/>
              <w:overflowPunct w:val="0"/>
              <w:topLinePunct w:val="0"/>
              <w:autoSpaceDE/>
              <w:bidi w:val="0"/>
              <w:adjustRightInd/>
              <w:spacing w:line="560" w:lineRule="exact"/>
              <w:ind w:leftChars="0"/>
              <w:jc w:val="left"/>
              <w:rPr>
                <w:rFonts w:ascii="宋体" w:hAnsi="宋体" w:cs="宋体"/>
                <w:color w:val="000000"/>
                <w:sz w:val="24"/>
              </w:rPr>
            </w:pPr>
          </w:p>
          <w:p w14:paraId="7B22861F">
            <w:pPr>
              <w:keepNext w:val="0"/>
              <w:keepLines w:val="0"/>
              <w:pageBreakBefore w:val="0"/>
              <w:tabs>
                <w:tab w:val="left" w:pos="1922"/>
              </w:tabs>
              <w:kinsoku/>
              <w:wordWrap/>
              <w:overflowPunct w:val="0"/>
              <w:topLinePunct w:val="0"/>
              <w:autoSpaceDE/>
              <w:bidi w:val="0"/>
              <w:adjustRightInd/>
              <w:spacing w:line="560" w:lineRule="exact"/>
              <w:ind w:leftChars="0"/>
              <w:jc w:val="left"/>
              <w:rPr>
                <w:rFonts w:ascii="宋体" w:hAnsi="宋体" w:cs="宋体"/>
                <w:color w:val="000000"/>
                <w:sz w:val="24"/>
              </w:rPr>
            </w:pPr>
          </w:p>
          <w:p w14:paraId="7566B6D7">
            <w:pPr>
              <w:keepNext w:val="0"/>
              <w:keepLines w:val="0"/>
              <w:pageBreakBefore w:val="0"/>
              <w:tabs>
                <w:tab w:val="left" w:pos="1922"/>
              </w:tabs>
              <w:kinsoku/>
              <w:wordWrap/>
              <w:overflowPunct w:val="0"/>
              <w:topLinePunct w:val="0"/>
              <w:autoSpaceDE/>
              <w:bidi w:val="0"/>
              <w:adjustRightInd/>
              <w:spacing w:line="560" w:lineRule="exact"/>
              <w:ind w:leftChars="0"/>
              <w:jc w:val="left"/>
              <w:rPr>
                <w:rFonts w:ascii="宋体" w:hAnsi="宋体" w:cs="宋体"/>
                <w:color w:val="000000"/>
                <w:sz w:val="24"/>
              </w:rPr>
            </w:pPr>
          </w:p>
          <w:p w14:paraId="2C7B134C">
            <w:pPr>
              <w:keepNext w:val="0"/>
              <w:keepLines w:val="0"/>
              <w:pageBreakBefore w:val="0"/>
              <w:tabs>
                <w:tab w:val="left" w:pos="1922"/>
              </w:tabs>
              <w:kinsoku/>
              <w:wordWrap/>
              <w:overflowPunct w:val="0"/>
              <w:topLinePunct w:val="0"/>
              <w:autoSpaceDE/>
              <w:bidi w:val="0"/>
              <w:adjustRightInd/>
              <w:spacing w:line="560" w:lineRule="exact"/>
              <w:ind w:leftChars="0"/>
              <w:jc w:val="left"/>
              <w:rPr>
                <w:rFonts w:ascii="宋体" w:hAnsi="宋体" w:cs="宋体"/>
                <w:color w:val="000000"/>
                <w:sz w:val="24"/>
              </w:rPr>
            </w:pPr>
          </w:p>
          <w:p w14:paraId="125C5063">
            <w:pPr>
              <w:keepNext w:val="0"/>
              <w:keepLines w:val="0"/>
              <w:pageBreakBefore w:val="0"/>
              <w:tabs>
                <w:tab w:val="left" w:pos="1922"/>
              </w:tabs>
              <w:kinsoku/>
              <w:wordWrap/>
              <w:overflowPunct w:val="0"/>
              <w:topLinePunct w:val="0"/>
              <w:autoSpaceDE/>
              <w:bidi w:val="0"/>
              <w:adjustRightInd/>
              <w:spacing w:line="560" w:lineRule="exact"/>
              <w:ind w:leftChars="0"/>
              <w:jc w:val="left"/>
              <w:rPr>
                <w:rFonts w:ascii="宋体" w:hAnsi="宋体" w:cs="宋体"/>
                <w:color w:val="000000"/>
                <w:sz w:val="24"/>
              </w:rPr>
            </w:pPr>
          </w:p>
        </w:tc>
      </w:tr>
      <w:tr w14:paraId="6BBE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2" w:hRule="atLeast"/>
        </w:trPr>
        <w:tc>
          <w:tcPr>
            <w:tcW w:w="9436" w:type="dxa"/>
            <w:gridSpan w:val="9"/>
            <w:vMerge w:val="continue"/>
            <w:tcMar>
              <w:top w:w="10" w:type="dxa"/>
              <w:left w:w="10" w:type="dxa"/>
              <w:right w:w="10" w:type="dxa"/>
            </w:tcMar>
            <w:vAlign w:val="center"/>
          </w:tcPr>
          <w:p w14:paraId="13263ED3">
            <w:pPr>
              <w:keepNext w:val="0"/>
              <w:keepLines w:val="0"/>
              <w:pageBreakBefore w:val="0"/>
              <w:kinsoku/>
              <w:wordWrap/>
              <w:overflowPunct w:val="0"/>
              <w:topLinePunct w:val="0"/>
              <w:autoSpaceDE/>
              <w:bidi w:val="0"/>
              <w:adjustRightInd/>
              <w:spacing w:line="560" w:lineRule="exact"/>
              <w:ind w:leftChars="0"/>
              <w:jc w:val="center"/>
              <w:rPr>
                <w:rFonts w:ascii="宋体" w:hAnsi="宋体" w:cs="宋体"/>
                <w:color w:val="000000"/>
                <w:sz w:val="24"/>
              </w:rPr>
            </w:pPr>
          </w:p>
        </w:tc>
      </w:tr>
      <w:tr w14:paraId="657F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7" w:hRule="atLeast"/>
        </w:trPr>
        <w:tc>
          <w:tcPr>
            <w:tcW w:w="9436" w:type="dxa"/>
            <w:gridSpan w:val="9"/>
            <w:vMerge w:val="continue"/>
            <w:tcMar>
              <w:top w:w="10" w:type="dxa"/>
              <w:left w:w="10" w:type="dxa"/>
              <w:right w:w="10" w:type="dxa"/>
            </w:tcMar>
            <w:vAlign w:val="center"/>
          </w:tcPr>
          <w:p w14:paraId="3A5CE9BE">
            <w:pPr>
              <w:keepNext w:val="0"/>
              <w:keepLines w:val="0"/>
              <w:pageBreakBefore w:val="0"/>
              <w:kinsoku/>
              <w:wordWrap/>
              <w:overflowPunct w:val="0"/>
              <w:topLinePunct w:val="0"/>
              <w:autoSpaceDE/>
              <w:bidi w:val="0"/>
              <w:adjustRightInd/>
              <w:spacing w:line="560" w:lineRule="exact"/>
              <w:ind w:leftChars="0"/>
              <w:jc w:val="center"/>
              <w:rPr>
                <w:rFonts w:ascii="宋体" w:hAnsi="宋体" w:cs="宋体"/>
                <w:color w:val="000000"/>
                <w:sz w:val="24"/>
              </w:rPr>
            </w:pPr>
          </w:p>
        </w:tc>
      </w:tr>
      <w:tr w14:paraId="4259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2" w:hRule="exact"/>
        </w:trPr>
        <w:tc>
          <w:tcPr>
            <w:tcW w:w="9436" w:type="dxa"/>
            <w:gridSpan w:val="9"/>
            <w:tcMar>
              <w:top w:w="10" w:type="dxa"/>
              <w:left w:w="10" w:type="dxa"/>
              <w:right w:w="10" w:type="dxa"/>
            </w:tcMar>
            <w:vAlign w:val="center"/>
          </w:tcPr>
          <w:p w14:paraId="762C0743">
            <w:pPr>
              <w:keepNext w:val="0"/>
              <w:keepLines w:val="0"/>
              <w:pageBreakBefore w:val="0"/>
              <w:tabs>
                <w:tab w:val="left" w:pos="3092"/>
                <w:tab w:val="center" w:pos="4768"/>
              </w:tabs>
              <w:kinsoku/>
              <w:wordWrap/>
              <w:overflowPunct w:val="0"/>
              <w:topLinePunct w:val="0"/>
              <w:autoSpaceDE/>
              <w:bidi w:val="0"/>
              <w:adjustRightInd/>
              <w:spacing w:line="560" w:lineRule="exact"/>
              <w:ind w:leftChars="0"/>
              <w:jc w:val="left"/>
              <w:textAlignment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财政部门审核意见：</w:t>
            </w:r>
          </w:p>
          <w:p w14:paraId="332039D4">
            <w:pPr>
              <w:keepNext w:val="0"/>
              <w:keepLines w:val="0"/>
              <w:pageBreakBefore w:val="0"/>
              <w:tabs>
                <w:tab w:val="left" w:pos="3092"/>
                <w:tab w:val="center" w:pos="4768"/>
              </w:tabs>
              <w:kinsoku/>
              <w:wordWrap/>
              <w:overflowPunct w:val="0"/>
              <w:topLinePunct w:val="0"/>
              <w:autoSpaceDE/>
              <w:bidi w:val="0"/>
              <w:adjustRightInd/>
              <w:spacing w:line="560" w:lineRule="exact"/>
              <w:ind w:leftChars="0"/>
              <w:jc w:val="left"/>
              <w:textAlignment w:val="center"/>
              <w:rPr>
                <w:rFonts w:hint="eastAsia" w:ascii="宋体" w:hAnsi="宋体" w:cs="宋体"/>
                <w:color w:val="000000"/>
                <w:kern w:val="0"/>
                <w:sz w:val="24"/>
                <w:lang w:eastAsia="zh-CN"/>
              </w:rPr>
            </w:pPr>
          </w:p>
          <w:p w14:paraId="7C7F6FD9">
            <w:pPr>
              <w:keepNext w:val="0"/>
              <w:keepLines w:val="0"/>
              <w:pageBreakBefore w:val="0"/>
              <w:tabs>
                <w:tab w:val="left" w:pos="3092"/>
                <w:tab w:val="center" w:pos="4768"/>
              </w:tabs>
              <w:kinsoku/>
              <w:wordWrap/>
              <w:overflowPunct w:val="0"/>
              <w:topLinePunct w:val="0"/>
              <w:autoSpaceDE/>
              <w:bidi w:val="0"/>
              <w:adjustRightInd/>
              <w:spacing w:line="560" w:lineRule="exact"/>
              <w:ind w:leftChars="0"/>
              <w:jc w:val="left"/>
              <w:textAlignment w:val="center"/>
              <w:rPr>
                <w:rFonts w:hint="eastAsia" w:ascii="宋体" w:hAnsi="宋体" w:cs="宋体"/>
                <w:color w:val="000000"/>
                <w:kern w:val="0"/>
                <w:sz w:val="24"/>
                <w:lang w:eastAsia="zh-CN"/>
              </w:rPr>
            </w:pPr>
          </w:p>
          <w:p w14:paraId="13948352">
            <w:pPr>
              <w:keepNext w:val="0"/>
              <w:keepLines w:val="0"/>
              <w:pageBreakBefore w:val="0"/>
              <w:tabs>
                <w:tab w:val="left" w:pos="3092"/>
                <w:tab w:val="center" w:pos="4768"/>
              </w:tabs>
              <w:kinsoku/>
              <w:wordWrap/>
              <w:overflowPunct w:val="0"/>
              <w:topLinePunct w:val="0"/>
              <w:autoSpaceDE/>
              <w:bidi w:val="0"/>
              <w:adjustRightInd/>
              <w:spacing w:line="560" w:lineRule="exact"/>
              <w:ind w:leftChars="0"/>
              <w:jc w:val="left"/>
              <w:textAlignment w:val="center"/>
              <w:rPr>
                <w:rFonts w:hint="eastAsia" w:ascii="宋体" w:hAnsi="宋体" w:cs="宋体"/>
                <w:color w:val="000000"/>
                <w:kern w:val="0"/>
                <w:sz w:val="24"/>
                <w:lang w:eastAsia="zh-CN"/>
              </w:rPr>
            </w:pPr>
          </w:p>
          <w:p w14:paraId="75BB8D31">
            <w:pPr>
              <w:keepNext w:val="0"/>
              <w:keepLines w:val="0"/>
              <w:pageBreakBefore w:val="0"/>
              <w:tabs>
                <w:tab w:val="left" w:pos="3092"/>
                <w:tab w:val="center" w:pos="4768"/>
              </w:tabs>
              <w:kinsoku/>
              <w:wordWrap/>
              <w:overflowPunct w:val="0"/>
              <w:topLinePunct w:val="0"/>
              <w:autoSpaceDE/>
              <w:bidi w:val="0"/>
              <w:adjustRightInd/>
              <w:spacing w:line="560" w:lineRule="exact"/>
              <w:ind w:leftChars="0"/>
              <w:jc w:val="left"/>
              <w:textAlignment w:val="center"/>
              <w:rPr>
                <w:rFonts w:hint="eastAsia" w:ascii="宋体" w:hAnsi="宋体" w:cs="宋体"/>
                <w:color w:val="000000"/>
                <w:kern w:val="0"/>
                <w:sz w:val="24"/>
                <w:lang w:eastAsia="zh-CN"/>
              </w:rPr>
            </w:pPr>
          </w:p>
          <w:p w14:paraId="5515D936">
            <w:pPr>
              <w:keepNext w:val="0"/>
              <w:keepLines w:val="0"/>
              <w:pageBreakBefore w:val="0"/>
              <w:tabs>
                <w:tab w:val="left" w:pos="3092"/>
                <w:tab w:val="center" w:pos="4768"/>
              </w:tabs>
              <w:kinsoku/>
              <w:wordWrap/>
              <w:overflowPunct w:val="0"/>
              <w:topLinePunct w:val="0"/>
              <w:autoSpaceDE/>
              <w:bidi w:val="0"/>
              <w:adjustRightInd/>
              <w:spacing w:line="560" w:lineRule="exact"/>
              <w:ind w:leftChars="0"/>
              <w:jc w:val="left"/>
              <w:textAlignment w:val="center"/>
              <w:rPr>
                <w:rFonts w:hint="eastAsia" w:ascii="宋体" w:hAnsi="宋体" w:cs="宋体"/>
                <w:color w:val="000000"/>
                <w:kern w:val="0"/>
                <w:sz w:val="24"/>
                <w:lang w:eastAsia="zh-CN"/>
              </w:rPr>
            </w:pPr>
          </w:p>
          <w:p w14:paraId="6D839701">
            <w:pPr>
              <w:keepNext w:val="0"/>
              <w:keepLines w:val="0"/>
              <w:pageBreakBefore w:val="0"/>
              <w:tabs>
                <w:tab w:val="left" w:pos="3092"/>
                <w:tab w:val="center" w:pos="4768"/>
              </w:tabs>
              <w:kinsoku/>
              <w:wordWrap/>
              <w:overflowPunct w:val="0"/>
              <w:topLinePunct w:val="0"/>
              <w:autoSpaceDE/>
              <w:bidi w:val="0"/>
              <w:adjustRightInd/>
              <w:spacing w:line="560" w:lineRule="exact"/>
              <w:ind w:leftChars="0"/>
              <w:jc w:val="left"/>
              <w:textAlignment w:val="center"/>
              <w:rPr>
                <w:rFonts w:hint="eastAsia" w:ascii="宋体" w:hAnsi="宋体" w:cs="宋体"/>
                <w:color w:val="000000"/>
                <w:kern w:val="0"/>
                <w:sz w:val="24"/>
              </w:rPr>
            </w:pPr>
          </w:p>
          <w:p w14:paraId="1FC9107F">
            <w:pPr>
              <w:keepNext w:val="0"/>
              <w:keepLines w:val="0"/>
              <w:pageBreakBefore w:val="0"/>
              <w:tabs>
                <w:tab w:val="left" w:pos="3092"/>
                <w:tab w:val="center" w:pos="4768"/>
              </w:tabs>
              <w:kinsoku/>
              <w:wordWrap/>
              <w:overflowPunct w:val="0"/>
              <w:topLinePunct w:val="0"/>
              <w:autoSpaceDE/>
              <w:bidi w:val="0"/>
              <w:adjustRightInd/>
              <w:spacing w:line="560" w:lineRule="exact"/>
              <w:ind w:leftChars="0"/>
              <w:jc w:val="left"/>
              <w:textAlignment w:val="center"/>
              <w:rPr>
                <w:rFonts w:hint="eastAsia" w:ascii="宋体" w:hAnsi="宋体" w:cs="宋体"/>
                <w:color w:val="000000"/>
                <w:kern w:val="0"/>
                <w:sz w:val="24"/>
              </w:rPr>
            </w:pPr>
          </w:p>
          <w:p w14:paraId="245F5CBE">
            <w:pPr>
              <w:keepNext w:val="0"/>
              <w:keepLines w:val="0"/>
              <w:pageBreakBefore w:val="0"/>
              <w:tabs>
                <w:tab w:val="left" w:pos="3092"/>
                <w:tab w:val="center" w:pos="4768"/>
              </w:tabs>
              <w:kinsoku/>
              <w:wordWrap/>
              <w:overflowPunct w:val="0"/>
              <w:topLinePunct w:val="0"/>
              <w:autoSpaceDE/>
              <w:bidi w:val="0"/>
              <w:adjustRightInd/>
              <w:spacing w:line="560" w:lineRule="exact"/>
              <w:ind w:leftChars="0"/>
              <w:jc w:val="left"/>
              <w:textAlignment w:val="center"/>
              <w:rPr>
                <w:rFonts w:hint="eastAsia" w:ascii="宋体" w:hAnsi="宋体" w:cs="宋体"/>
                <w:color w:val="000000"/>
                <w:kern w:val="0"/>
                <w:sz w:val="24"/>
              </w:rPr>
            </w:pPr>
          </w:p>
          <w:p w14:paraId="494E56A5">
            <w:pPr>
              <w:keepNext w:val="0"/>
              <w:keepLines w:val="0"/>
              <w:pageBreakBefore w:val="0"/>
              <w:tabs>
                <w:tab w:val="left" w:pos="3092"/>
                <w:tab w:val="center" w:pos="4768"/>
              </w:tabs>
              <w:kinsoku/>
              <w:wordWrap/>
              <w:overflowPunct w:val="0"/>
              <w:topLinePunct w:val="0"/>
              <w:autoSpaceDE/>
              <w:bidi w:val="0"/>
              <w:adjustRightInd/>
              <w:spacing w:line="560" w:lineRule="exact"/>
              <w:ind w:leftChars="0"/>
              <w:jc w:val="left"/>
              <w:textAlignment w:val="center"/>
              <w:rPr>
                <w:rFonts w:hint="eastAsia" w:ascii="宋体" w:hAnsi="宋体" w:cs="宋体"/>
                <w:color w:val="000000"/>
                <w:kern w:val="0"/>
                <w:sz w:val="24"/>
              </w:rPr>
            </w:pPr>
          </w:p>
          <w:p w14:paraId="797650C1">
            <w:pPr>
              <w:keepNext w:val="0"/>
              <w:keepLines w:val="0"/>
              <w:pageBreakBefore w:val="0"/>
              <w:tabs>
                <w:tab w:val="left" w:pos="3092"/>
                <w:tab w:val="center" w:pos="4768"/>
              </w:tabs>
              <w:kinsoku/>
              <w:wordWrap/>
              <w:overflowPunct w:val="0"/>
              <w:topLinePunct w:val="0"/>
              <w:autoSpaceDE/>
              <w:bidi w:val="0"/>
              <w:adjustRightInd/>
              <w:spacing w:line="560" w:lineRule="exact"/>
              <w:ind w:leftChars="0"/>
              <w:jc w:val="left"/>
              <w:textAlignment w:val="center"/>
              <w:rPr>
                <w:rFonts w:hint="eastAsia" w:ascii="宋体" w:hAnsi="宋体" w:cs="宋体"/>
                <w:color w:val="000000"/>
                <w:kern w:val="0"/>
                <w:sz w:val="24"/>
              </w:rPr>
            </w:pPr>
          </w:p>
          <w:p w14:paraId="29E8F100">
            <w:pPr>
              <w:keepNext w:val="0"/>
              <w:keepLines w:val="0"/>
              <w:pageBreakBefore w:val="0"/>
              <w:tabs>
                <w:tab w:val="left" w:pos="3092"/>
                <w:tab w:val="center" w:pos="4768"/>
              </w:tabs>
              <w:kinsoku/>
              <w:wordWrap/>
              <w:overflowPunct w:val="0"/>
              <w:topLinePunct w:val="0"/>
              <w:autoSpaceDE/>
              <w:bidi w:val="0"/>
              <w:adjustRightInd/>
              <w:spacing w:line="560" w:lineRule="exact"/>
              <w:ind w:leftChars="0"/>
              <w:jc w:val="left"/>
              <w:textAlignment w:val="center"/>
              <w:rPr>
                <w:rFonts w:hint="eastAsia" w:ascii="宋体" w:hAnsi="宋体" w:cs="宋体"/>
                <w:color w:val="000000"/>
                <w:kern w:val="0"/>
                <w:sz w:val="24"/>
              </w:rPr>
            </w:pPr>
          </w:p>
          <w:p w14:paraId="357FB051">
            <w:pPr>
              <w:keepNext w:val="0"/>
              <w:keepLines w:val="0"/>
              <w:pageBreakBefore w:val="0"/>
              <w:tabs>
                <w:tab w:val="left" w:pos="3092"/>
                <w:tab w:val="center" w:pos="4768"/>
              </w:tabs>
              <w:kinsoku/>
              <w:wordWrap/>
              <w:overflowPunct w:val="0"/>
              <w:topLinePunct w:val="0"/>
              <w:autoSpaceDE/>
              <w:bidi w:val="0"/>
              <w:adjustRightInd/>
              <w:spacing w:line="560" w:lineRule="exact"/>
              <w:ind w:leftChars="0"/>
              <w:jc w:val="left"/>
              <w:textAlignment w:val="center"/>
              <w:rPr>
                <w:rFonts w:hint="eastAsia" w:ascii="宋体" w:hAnsi="宋体" w:cs="宋体"/>
                <w:color w:val="000000"/>
                <w:kern w:val="0"/>
                <w:sz w:val="24"/>
              </w:rPr>
            </w:pPr>
            <w:r>
              <w:rPr>
                <w:rFonts w:hint="eastAsia" w:ascii="宋体" w:hAnsi="宋体" w:cs="宋体"/>
                <w:color w:val="000000"/>
                <w:kern w:val="0"/>
                <w:sz w:val="24"/>
              </w:rPr>
              <w:t>财政部门审核意见</w:t>
            </w:r>
          </w:p>
          <w:p w14:paraId="723C3BE8">
            <w:pPr>
              <w:keepNext w:val="0"/>
              <w:keepLines w:val="0"/>
              <w:pageBreakBefore w:val="0"/>
              <w:tabs>
                <w:tab w:val="left" w:pos="3092"/>
                <w:tab w:val="center" w:pos="4768"/>
              </w:tabs>
              <w:kinsoku/>
              <w:wordWrap/>
              <w:overflowPunct w:val="0"/>
              <w:topLinePunct w:val="0"/>
              <w:autoSpaceDE/>
              <w:bidi w:val="0"/>
              <w:adjustRightInd/>
              <w:spacing w:line="560" w:lineRule="exact"/>
              <w:ind w:leftChars="0"/>
              <w:jc w:val="left"/>
              <w:textAlignment w:val="center"/>
              <w:rPr>
                <w:rFonts w:hint="eastAsia" w:ascii="宋体" w:hAnsi="宋体" w:cs="宋体"/>
                <w:color w:val="000000"/>
                <w:kern w:val="0"/>
                <w:sz w:val="24"/>
              </w:rPr>
            </w:pPr>
          </w:p>
          <w:p w14:paraId="6A997FBF">
            <w:pPr>
              <w:keepNext w:val="0"/>
              <w:keepLines w:val="0"/>
              <w:pageBreakBefore w:val="0"/>
              <w:tabs>
                <w:tab w:val="left" w:pos="3092"/>
                <w:tab w:val="center" w:pos="4768"/>
              </w:tabs>
              <w:kinsoku/>
              <w:wordWrap/>
              <w:overflowPunct w:val="0"/>
              <w:topLinePunct w:val="0"/>
              <w:autoSpaceDE/>
              <w:bidi w:val="0"/>
              <w:adjustRightInd/>
              <w:spacing w:line="560" w:lineRule="exact"/>
              <w:ind w:leftChars="0"/>
              <w:jc w:val="left"/>
              <w:textAlignment w:val="center"/>
              <w:rPr>
                <w:rFonts w:hint="eastAsia" w:ascii="宋体" w:hAnsi="宋体" w:cs="宋体"/>
                <w:color w:val="000000"/>
                <w:kern w:val="0"/>
                <w:sz w:val="24"/>
              </w:rPr>
            </w:pPr>
          </w:p>
        </w:tc>
      </w:tr>
      <w:tr w14:paraId="5997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6" w:hRule="exact"/>
        </w:trPr>
        <w:tc>
          <w:tcPr>
            <w:tcW w:w="9436" w:type="dxa"/>
            <w:gridSpan w:val="9"/>
            <w:tcMar>
              <w:top w:w="10" w:type="dxa"/>
              <w:left w:w="10" w:type="dxa"/>
              <w:right w:w="10" w:type="dxa"/>
            </w:tcMar>
            <w:vAlign w:val="bottom"/>
          </w:tcPr>
          <w:p w14:paraId="2A7C1DC2">
            <w:pPr>
              <w:keepNext w:val="0"/>
              <w:keepLines w:val="0"/>
              <w:pageBreakBefore w:val="0"/>
              <w:kinsoku/>
              <w:wordWrap/>
              <w:overflowPunct w:val="0"/>
              <w:topLinePunct w:val="0"/>
              <w:autoSpaceDE/>
              <w:bidi w:val="0"/>
              <w:adjustRightInd/>
              <w:spacing w:line="560" w:lineRule="exact"/>
              <w:ind w:leftChars="0"/>
              <w:textAlignment w:val="bottom"/>
              <w:rPr>
                <w:rFonts w:ascii="宋体" w:hAnsi="宋体" w:cs="宋体"/>
                <w:color w:val="000000"/>
                <w:kern w:val="0"/>
                <w:sz w:val="24"/>
              </w:rPr>
            </w:pPr>
          </w:p>
        </w:tc>
      </w:tr>
    </w:tbl>
    <w:p w14:paraId="6971B108">
      <w:pPr>
        <w:keepNext w:val="0"/>
        <w:keepLines w:val="0"/>
        <w:pageBreakBefore w:val="0"/>
        <w:tabs>
          <w:tab w:val="center" w:pos="4473"/>
        </w:tabs>
        <w:kinsoku/>
        <w:wordWrap/>
        <w:topLinePunct w:val="0"/>
        <w:autoSpaceDE/>
        <w:bidi w:val="0"/>
        <w:adjustRightInd/>
        <w:snapToGrid/>
        <w:spacing w:line="560" w:lineRule="exact"/>
        <w:ind w:leftChars="0" w:right="0"/>
        <w:jc w:val="left"/>
        <w:textAlignment w:val="auto"/>
        <w:rPr>
          <w:rFonts w:hint="eastAsia" w:ascii="黑体" w:hAnsi="黑体" w:eastAsia="黑体"/>
          <w:sz w:val="32"/>
          <w:szCs w:val="32"/>
          <w:lang w:eastAsia="zh-CN"/>
        </w:rPr>
        <w:sectPr>
          <w:footerReference r:id="rId3" w:type="default"/>
          <w:footerReference r:id="rId4" w:type="even"/>
          <w:pgSz w:w="11906" w:h="16838"/>
          <w:pgMar w:top="1440" w:right="1701" w:bottom="1440" w:left="1871" w:header="851" w:footer="992" w:gutter="0"/>
          <w:pgNumType w:fmt="decimal"/>
          <w:cols w:space="0" w:num="1"/>
          <w:rtlGutter w:val="0"/>
          <w:docGrid w:type="lines" w:linePitch="312" w:charSpace="0"/>
        </w:sectPr>
      </w:pPr>
    </w:p>
    <w:p w14:paraId="29CF07BF">
      <w:pPr>
        <w:keepNext w:val="0"/>
        <w:keepLines w:val="0"/>
        <w:pageBreakBefore w:val="0"/>
        <w:tabs>
          <w:tab w:val="center" w:pos="4473"/>
        </w:tabs>
        <w:kinsoku/>
        <w:wordWrap/>
        <w:topLinePunct w:val="0"/>
        <w:autoSpaceDE/>
        <w:bidi w:val="0"/>
        <w:adjustRightInd/>
        <w:snapToGrid/>
        <w:spacing w:line="560" w:lineRule="exact"/>
        <w:ind w:leftChars="0" w:right="0"/>
        <w:jc w:val="left"/>
        <w:textAlignment w:val="auto"/>
        <w:rPr>
          <w:rFonts w:hint="default" w:ascii="黑体" w:hAnsi="黑体" w:eastAsia="黑体"/>
          <w:sz w:val="32"/>
          <w:szCs w:val="32"/>
          <w:lang w:val="en-US" w:eastAsia="zh-CN"/>
        </w:rPr>
      </w:pPr>
      <w:r>
        <w:rPr>
          <w:rFonts w:hint="eastAsia" w:ascii="黑体" w:hAnsi="黑体" w:eastAsia="黑体"/>
          <w:sz w:val="32"/>
          <w:szCs w:val="32"/>
          <w:lang w:eastAsia="zh-CN"/>
        </w:rPr>
        <w:t>附件</w:t>
      </w:r>
      <w:r>
        <w:rPr>
          <w:rFonts w:hint="eastAsia" w:ascii="黑体" w:hAnsi="黑体" w:eastAsia="黑体"/>
          <w:sz w:val="32"/>
          <w:szCs w:val="32"/>
          <w:lang w:val="en-US" w:eastAsia="zh-CN"/>
        </w:rPr>
        <w:t>2</w:t>
      </w:r>
    </w:p>
    <w:p w14:paraId="1B86D738">
      <w:pPr>
        <w:keepNext w:val="0"/>
        <w:keepLines w:val="0"/>
        <w:pageBreakBefore w:val="0"/>
        <w:tabs>
          <w:tab w:val="center" w:pos="4473"/>
        </w:tabs>
        <w:kinsoku/>
        <w:wordWrap/>
        <w:topLinePunct w:val="0"/>
        <w:autoSpaceDE/>
        <w:bidi w:val="0"/>
        <w:adjustRightInd/>
        <w:snapToGrid/>
        <w:spacing w:line="560" w:lineRule="exact"/>
        <w:ind w:left="0" w:leftChars="0" w:right="0" w:firstLine="640" w:firstLineChars="200"/>
        <w:textAlignment w:val="auto"/>
        <w:rPr>
          <w:rFonts w:hint="eastAsia" w:ascii="黑体" w:hAnsi="黑体" w:eastAsia="黑体"/>
          <w:sz w:val="32"/>
          <w:szCs w:val="32"/>
        </w:rPr>
      </w:pPr>
    </w:p>
    <w:p w14:paraId="1252061B">
      <w:pPr>
        <w:keepNext w:val="0"/>
        <w:keepLines w:val="0"/>
        <w:pageBreakBefore w:val="0"/>
        <w:widowControl/>
        <w:kinsoku/>
        <w:wordWrap/>
        <w:topLinePunct w:val="0"/>
        <w:autoSpaceDE/>
        <w:bidi w:val="0"/>
        <w:adjustRightInd/>
        <w:spacing w:line="560" w:lineRule="exact"/>
        <w:ind w:leftChars="0"/>
        <w:jc w:val="center"/>
        <w:textAlignment w:val="center"/>
        <w:rPr>
          <w:rFonts w:hint="eastAsia" w:ascii="方正小标宋简体" w:hAnsi="方正小标宋简体" w:eastAsia="方正小标宋简体" w:cs="黑体"/>
          <w:color w:val="000000"/>
          <w:kern w:val="0"/>
          <w:sz w:val="44"/>
          <w:szCs w:val="44"/>
          <w:lang w:eastAsia="zh-CN"/>
        </w:rPr>
      </w:pPr>
      <w:r>
        <w:rPr>
          <w:rFonts w:hint="eastAsia" w:ascii="方正小标宋简体" w:hAnsi="方正小标宋简体" w:eastAsia="方正小标宋简体" w:cs="黑体"/>
          <w:color w:val="000000"/>
          <w:kern w:val="0"/>
          <w:sz w:val="44"/>
          <w:szCs w:val="44"/>
          <w:lang w:eastAsia="zh-CN"/>
        </w:rPr>
        <w:t>青海省政府采购代理机构记分规则</w:t>
      </w:r>
    </w:p>
    <w:p w14:paraId="7F5627D4">
      <w:pPr>
        <w:keepNext w:val="0"/>
        <w:keepLines w:val="0"/>
        <w:pageBreakBefore w:val="0"/>
        <w:widowControl w:val="0"/>
        <w:numPr>
          <w:ilvl w:val="0"/>
          <w:numId w:val="0"/>
        </w:numPr>
        <w:kinsoku/>
        <w:wordWrap/>
        <w:topLinePunct w:val="0"/>
        <w:autoSpaceDE/>
        <w:autoSpaceDN/>
        <w:bidi w:val="0"/>
        <w:adjustRightInd/>
        <w:snapToGrid/>
        <w:spacing w:line="560" w:lineRule="exact"/>
        <w:textAlignment w:val="auto"/>
        <w:rPr>
          <w:rFonts w:hint="eastAsia" w:ascii="黑体" w:hAnsi="黑体" w:eastAsia="黑体" w:cs="黑体"/>
          <w:sz w:val="32"/>
          <w:lang w:eastAsia="zh-CN"/>
        </w:rPr>
      </w:pPr>
    </w:p>
    <w:tbl>
      <w:tblPr>
        <w:tblStyle w:val="4"/>
        <w:tblW w:w="14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3847"/>
      </w:tblGrid>
      <w:tr w14:paraId="02F4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952" w:type="dxa"/>
            <w:noWrap w:val="0"/>
            <w:vAlign w:val="top"/>
          </w:tcPr>
          <w:p w14:paraId="149DEEC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textAlignment w:val="auto"/>
              <w:rPr>
                <w:rFonts w:hint="eastAsia" w:ascii="仿宋_GB2312" w:hAnsi="仿宋_GB2312" w:eastAsia="仿宋_GB2312" w:cs="仿宋_GB2312"/>
                <w:b/>
                <w:bCs/>
                <w:sz w:val="30"/>
                <w:szCs w:val="30"/>
                <w:vertAlign w:val="baseline"/>
                <w:lang w:val="en-US" w:eastAsia="zh-CN"/>
              </w:rPr>
            </w:pPr>
          </w:p>
          <w:p w14:paraId="49F3E0C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序号</w:t>
            </w:r>
          </w:p>
        </w:tc>
        <w:tc>
          <w:tcPr>
            <w:tcW w:w="13847" w:type="dxa"/>
            <w:noWrap w:val="0"/>
            <w:vAlign w:val="top"/>
          </w:tcPr>
          <w:p w14:paraId="42B9541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5421" w:firstLineChars="1800"/>
              <w:jc w:val="both"/>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情   形</w:t>
            </w:r>
          </w:p>
        </w:tc>
      </w:tr>
      <w:tr w14:paraId="653C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99" w:type="dxa"/>
            <w:gridSpan w:val="2"/>
            <w:noWrap w:val="0"/>
            <w:vAlign w:val="top"/>
          </w:tcPr>
          <w:p w14:paraId="3AFDC51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一次记3分</w:t>
            </w:r>
          </w:p>
        </w:tc>
      </w:tr>
      <w:tr w14:paraId="1831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22A0CF2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1</w:t>
            </w:r>
          </w:p>
        </w:tc>
        <w:tc>
          <w:tcPr>
            <w:tcW w:w="13847" w:type="dxa"/>
            <w:noWrap w:val="0"/>
            <w:vAlign w:val="top"/>
          </w:tcPr>
          <w:p w14:paraId="2FD417E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sz w:val="30"/>
                <w:szCs w:val="30"/>
                <w:lang w:val="en-US" w:eastAsia="zh-CN"/>
              </w:rPr>
              <w:t>代理机构与采购人签订的委托代理协议内容不合规的，包括但不限于代理协议没有明确采购代理范围、权限、期限、档案保存、代理费用收取方式及标准、协议解除及终止、违约责任等具体事项的</w:t>
            </w:r>
          </w:p>
        </w:tc>
      </w:tr>
      <w:tr w14:paraId="1CA9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5976D233">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2</w:t>
            </w:r>
          </w:p>
        </w:tc>
        <w:tc>
          <w:tcPr>
            <w:tcW w:w="13847" w:type="dxa"/>
            <w:noWrap w:val="0"/>
            <w:vAlign w:val="top"/>
          </w:tcPr>
          <w:p w14:paraId="68B0BDB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sz w:val="30"/>
                <w:szCs w:val="30"/>
              </w:rPr>
              <w:t>未及时实施采购，造成采购延误的或者因未充分了解采购人需求</w:t>
            </w:r>
            <w:r>
              <w:rPr>
                <w:rFonts w:hint="eastAsia" w:ascii="仿宋_GB2312" w:hAnsi="仿宋_GB2312" w:eastAsia="仿宋_GB2312" w:cs="仿宋_GB2312"/>
                <w:sz w:val="30"/>
                <w:szCs w:val="30"/>
                <w:lang w:eastAsia="zh-CN"/>
              </w:rPr>
              <w:t>或采购文件编制不合理，</w:t>
            </w:r>
            <w:r>
              <w:rPr>
                <w:rFonts w:hint="eastAsia" w:ascii="仿宋_GB2312" w:hAnsi="仿宋_GB2312" w:eastAsia="仿宋_GB2312" w:cs="仿宋_GB2312"/>
                <w:sz w:val="30"/>
                <w:szCs w:val="30"/>
              </w:rPr>
              <w:t>造成采购失误的；</w:t>
            </w:r>
          </w:p>
        </w:tc>
      </w:tr>
      <w:tr w14:paraId="4E73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05B13F2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3</w:t>
            </w:r>
          </w:p>
        </w:tc>
        <w:tc>
          <w:tcPr>
            <w:tcW w:w="13847" w:type="dxa"/>
            <w:noWrap w:val="0"/>
            <w:vAlign w:val="top"/>
          </w:tcPr>
          <w:p w14:paraId="2446A4D9">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sz w:val="30"/>
                <w:szCs w:val="30"/>
              </w:rPr>
              <w:t>发出的采购文件</w:t>
            </w:r>
            <w:r>
              <w:rPr>
                <w:rFonts w:hint="eastAsia" w:ascii="仿宋_GB2312" w:hAnsi="仿宋_GB2312" w:eastAsia="仿宋_GB2312" w:cs="仿宋_GB2312"/>
                <w:sz w:val="30"/>
                <w:szCs w:val="30"/>
                <w:lang w:eastAsia="zh-CN"/>
              </w:rPr>
              <w:t>要素</w:t>
            </w:r>
            <w:r>
              <w:rPr>
                <w:rFonts w:hint="eastAsia" w:ascii="仿宋_GB2312" w:hAnsi="仿宋_GB2312" w:eastAsia="仿宋_GB2312" w:cs="仿宋_GB2312"/>
                <w:sz w:val="30"/>
                <w:szCs w:val="30"/>
              </w:rPr>
              <w:t>不全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内容错误或有缺项漏项的，</w:t>
            </w:r>
            <w:r>
              <w:rPr>
                <w:rFonts w:hint="eastAsia" w:ascii="仿宋_GB2312" w:hAnsi="仿宋_GB2312" w:eastAsia="仿宋_GB2312" w:cs="仿宋_GB2312"/>
                <w:sz w:val="30"/>
                <w:szCs w:val="30"/>
                <w:lang w:eastAsia="zh-CN"/>
              </w:rPr>
              <w:t>或</w:t>
            </w:r>
            <w:r>
              <w:rPr>
                <w:rFonts w:hint="eastAsia" w:ascii="仿宋_GB2312" w:hAnsi="仿宋_GB2312" w:eastAsia="仿宋_GB2312" w:cs="仿宋_GB2312"/>
                <w:sz w:val="30"/>
                <w:szCs w:val="30"/>
              </w:rPr>
              <w:t>前后条款自相矛盾、存在歧义的；</w:t>
            </w:r>
          </w:p>
        </w:tc>
      </w:tr>
      <w:tr w14:paraId="2793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265192A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4</w:t>
            </w:r>
          </w:p>
        </w:tc>
        <w:tc>
          <w:tcPr>
            <w:tcW w:w="13847" w:type="dxa"/>
            <w:noWrap w:val="0"/>
            <w:vAlign w:val="top"/>
          </w:tcPr>
          <w:p w14:paraId="51B3801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sz w:val="30"/>
                <w:szCs w:val="30"/>
                <w:lang w:val="en-US" w:eastAsia="zh-CN"/>
              </w:rPr>
              <w:t>采购文件设置的评审方法或采购需求不具体的；</w:t>
            </w:r>
          </w:p>
        </w:tc>
      </w:tr>
      <w:tr w14:paraId="3D73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67A50F9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5</w:t>
            </w:r>
          </w:p>
        </w:tc>
        <w:tc>
          <w:tcPr>
            <w:tcW w:w="13847" w:type="dxa"/>
            <w:noWrap w:val="0"/>
            <w:vAlign w:val="top"/>
          </w:tcPr>
          <w:p w14:paraId="67D2458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sz w:val="30"/>
                <w:szCs w:val="30"/>
                <w:lang w:val="en-US" w:eastAsia="zh-CN"/>
              </w:rPr>
              <w:t>采购文件将资格条件列入评审标准的；</w:t>
            </w:r>
          </w:p>
        </w:tc>
      </w:tr>
      <w:tr w14:paraId="40EB1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7E9B0E7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6</w:t>
            </w:r>
          </w:p>
        </w:tc>
        <w:tc>
          <w:tcPr>
            <w:tcW w:w="13847" w:type="dxa"/>
            <w:noWrap w:val="0"/>
            <w:vAlign w:val="top"/>
          </w:tcPr>
          <w:p w14:paraId="7DFFF200">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sz w:val="30"/>
                <w:szCs w:val="30"/>
              </w:rPr>
              <w:t>未按照规定要求和时限发布政府采购信息或者发布的信息内容不完整、错误，或者就同一采购项目发布两次及以上内容相同的采购信息的；</w:t>
            </w:r>
          </w:p>
        </w:tc>
      </w:tr>
      <w:tr w14:paraId="7C1B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311AA0A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7</w:t>
            </w:r>
          </w:p>
        </w:tc>
        <w:tc>
          <w:tcPr>
            <w:tcW w:w="13847" w:type="dxa"/>
            <w:noWrap w:val="0"/>
            <w:vAlign w:val="top"/>
          </w:tcPr>
          <w:p w14:paraId="1B11E9A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sz w:val="30"/>
                <w:szCs w:val="30"/>
                <w:lang w:val="en-US" w:eastAsia="zh-CN"/>
              </w:rPr>
              <w:t>对已发出的采购文件进行必要的澄清或者修改时，未在原公告发布媒体上发布更正公告，或未以书面形式通知所有已获取采购文件的潜在供应商；</w:t>
            </w:r>
          </w:p>
        </w:tc>
      </w:tr>
      <w:tr w14:paraId="4A3A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5182A43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8</w:t>
            </w:r>
          </w:p>
        </w:tc>
        <w:tc>
          <w:tcPr>
            <w:tcW w:w="13847" w:type="dxa"/>
            <w:noWrap w:val="0"/>
            <w:vAlign w:val="top"/>
          </w:tcPr>
          <w:p w14:paraId="71DDF360">
            <w:pPr>
              <w:keepNext w:val="0"/>
              <w:keepLines w:val="0"/>
              <w:pageBreakBefore w:val="0"/>
              <w:widowControl w:val="0"/>
              <w:tabs>
                <w:tab w:val="center" w:pos="4473"/>
              </w:tabs>
              <w:kinsoku/>
              <w:wordWrap/>
              <w:topLinePunct w:val="0"/>
              <w:autoSpaceDE/>
              <w:autoSpaceDN/>
              <w:bidi w:val="0"/>
              <w:adjustRightInd/>
              <w:snapToGrid/>
              <w:spacing w:line="560" w:lineRule="exact"/>
              <w:ind w:right="0"/>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sz w:val="30"/>
                <w:szCs w:val="30"/>
              </w:rPr>
              <w:t>指派</w:t>
            </w:r>
            <w:r>
              <w:rPr>
                <w:rFonts w:hint="eastAsia" w:ascii="仿宋_GB2312" w:hAnsi="仿宋_GB2312" w:eastAsia="仿宋_GB2312" w:cs="仿宋_GB2312"/>
                <w:sz w:val="30"/>
                <w:szCs w:val="30"/>
                <w:lang w:eastAsia="zh-CN"/>
              </w:rPr>
              <w:t>非专职从业</w:t>
            </w:r>
            <w:r>
              <w:rPr>
                <w:rFonts w:hint="eastAsia" w:ascii="仿宋_GB2312" w:hAnsi="仿宋_GB2312" w:eastAsia="仿宋_GB2312" w:cs="仿宋_GB2312"/>
                <w:sz w:val="30"/>
                <w:szCs w:val="30"/>
              </w:rPr>
              <w:t>人员单独开展政府采购业务</w:t>
            </w:r>
            <w:r>
              <w:rPr>
                <w:rFonts w:hint="eastAsia" w:ascii="仿宋_GB2312" w:hAnsi="仿宋_GB2312" w:eastAsia="仿宋_GB2312" w:cs="仿宋_GB2312"/>
                <w:sz w:val="30"/>
                <w:szCs w:val="30"/>
                <w:lang w:eastAsia="zh-CN"/>
              </w:rPr>
              <w:t>，造成采购失误的；</w:t>
            </w:r>
          </w:p>
        </w:tc>
      </w:tr>
      <w:tr w14:paraId="457A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767E4CA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9</w:t>
            </w:r>
          </w:p>
        </w:tc>
        <w:tc>
          <w:tcPr>
            <w:tcW w:w="13847" w:type="dxa"/>
            <w:noWrap w:val="0"/>
            <w:vAlign w:val="top"/>
          </w:tcPr>
          <w:p w14:paraId="6E643DD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sz w:val="30"/>
                <w:szCs w:val="30"/>
              </w:rPr>
              <w:t>未核实评审委员会成员身份、告知回避要求或未宣布评审工作纪律和程序的；</w:t>
            </w:r>
          </w:p>
        </w:tc>
      </w:tr>
      <w:tr w14:paraId="7253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141E864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10</w:t>
            </w:r>
          </w:p>
        </w:tc>
        <w:tc>
          <w:tcPr>
            <w:tcW w:w="13847" w:type="dxa"/>
            <w:noWrap w:val="0"/>
            <w:vAlign w:val="top"/>
          </w:tcPr>
          <w:p w14:paraId="74177A3B">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2"/>
                <w:szCs w:val="32"/>
              </w:rPr>
              <w:t>采购活动开始前有关准备工作不充分，影响</w:t>
            </w:r>
            <w:r>
              <w:rPr>
                <w:rFonts w:hint="eastAsia" w:ascii="仿宋_GB2312" w:hAnsi="仿宋_GB2312" w:eastAsia="仿宋_GB2312" w:cs="仿宋_GB2312"/>
                <w:sz w:val="32"/>
                <w:szCs w:val="32"/>
                <w:lang w:eastAsia="zh-CN"/>
              </w:rPr>
              <w:t>采购活动开展</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，包括但不限于电子化系统项目信息录入错误、评审场地未确定或提供的信息不准确、未按照规定抽取评审专家等情形。</w:t>
            </w:r>
          </w:p>
        </w:tc>
      </w:tr>
      <w:tr w14:paraId="5E5D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085F517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11</w:t>
            </w:r>
          </w:p>
        </w:tc>
        <w:tc>
          <w:tcPr>
            <w:tcW w:w="13847" w:type="dxa"/>
            <w:noWrap w:val="0"/>
            <w:vAlign w:val="top"/>
          </w:tcPr>
          <w:p w14:paraId="46992954">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sz w:val="30"/>
                <w:szCs w:val="30"/>
              </w:rPr>
              <w:t>供应商已依照规定提交各类声明函、承诺函，仍要求其再提供有关部门出具的相关证明文件的；</w:t>
            </w:r>
          </w:p>
        </w:tc>
      </w:tr>
      <w:tr w14:paraId="4A0A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6041954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12</w:t>
            </w:r>
          </w:p>
        </w:tc>
        <w:tc>
          <w:tcPr>
            <w:tcW w:w="13847" w:type="dxa"/>
            <w:noWrap w:val="0"/>
            <w:vAlign w:val="top"/>
          </w:tcPr>
          <w:p w14:paraId="42C622FF">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sz w:val="30"/>
                <w:szCs w:val="30"/>
              </w:rPr>
              <w:t>未在采购文件规定的时间内</w:t>
            </w:r>
            <w:r>
              <w:rPr>
                <w:rFonts w:hint="eastAsia" w:ascii="仿宋_GB2312" w:hAnsi="仿宋_GB2312" w:eastAsia="仿宋_GB2312" w:cs="仿宋_GB2312"/>
                <w:sz w:val="30"/>
                <w:szCs w:val="30"/>
                <w:lang w:eastAsia="zh-CN"/>
              </w:rPr>
              <w:t>发布</w:t>
            </w:r>
            <w:r>
              <w:rPr>
                <w:rFonts w:hint="eastAsia" w:ascii="仿宋_GB2312" w:hAnsi="仿宋_GB2312" w:eastAsia="仿宋_GB2312" w:cs="仿宋_GB2312"/>
                <w:sz w:val="30"/>
                <w:szCs w:val="30"/>
              </w:rPr>
              <w:t>采购文件的；</w:t>
            </w:r>
          </w:p>
        </w:tc>
      </w:tr>
      <w:tr w14:paraId="1AF9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53F26A3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13</w:t>
            </w:r>
          </w:p>
        </w:tc>
        <w:tc>
          <w:tcPr>
            <w:tcW w:w="13847" w:type="dxa"/>
            <w:noWrap w:val="0"/>
            <w:vAlign w:val="top"/>
          </w:tcPr>
          <w:p w14:paraId="086B3F8B">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sz w:val="30"/>
                <w:szCs w:val="30"/>
              </w:rPr>
              <w:t>在评审工作开始前，</w:t>
            </w:r>
            <w:r>
              <w:rPr>
                <w:rFonts w:hint="eastAsia" w:ascii="仿宋_GB2312" w:hAnsi="仿宋_GB2312" w:eastAsia="仿宋_GB2312" w:cs="仿宋_GB2312"/>
                <w:sz w:val="30"/>
                <w:szCs w:val="30"/>
                <w:lang w:eastAsia="zh-CN"/>
              </w:rPr>
              <w:t>未</w:t>
            </w:r>
            <w:r>
              <w:rPr>
                <w:rFonts w:hint="eastAsia" w:ascii="仿宋_GB2312" w:hAnsi="仿宋_GB2312" w:eastAsia="仿宋_GB2312" w:cs="仿宋_GB2312"/>
                <w:sz w:val="30"/>
                <w:szCs w:val="30"/>
              </w:rPr>
              <w:t>将评审委员会成员手机等通讯工具或者相关电子设备统一保管，或者出现评审委员会成员拒不上交，但未拒绝其参加评审工作的；</w:t>
            </w:r>
          </w:p>
        </w:tc>
      </w:tr>
      <w:tr w14:paraId="1D78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2D115C6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14</w:t>
            </w:r>
          </w:p>
        </w:tc>
        <w:tc>
          <w:tcPr>
            <w:tcW w:w="13847" w:type="dxa"/>
            <w:noWrap w:val="0"/>
            <w:vAlign w:val="top"/>
          </w:tcPr>
          <w:p w14:paraId="63FD43DF">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sz w:val="30"/>
                <w:szCs w:val="30"/>
              </w:rPr>
              <w:t>未按采购文件规定的时间准时组织开展采购活动的；</w:t>
            </w:r>
          </w:p>
        </w:tc>
      </w:tr>
      <w:tr w14:paraId="2ECF9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7DCA1283">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15</w:t>
            </w:r>
          </w:p>
        </w:tc>
        <w:tc>
          <w:tcPr>
            <w:tcW w:w="13847" w:type="dxa"/>
            <w:noWrap w:val="0"/>
            <w:vAlign w:val="top"/>
          </w:tcPr>
          <w:p w14:paraId="2D428DDC">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sz w:val="30"/>
                <w:szCs w:val="30"/>
              </w:rPr>
              <w:t>未按规定组织重新评审的；</w:t>
            </w:r>
          </w:p>
        </w:tc>
      </w:tr>
      <w:tr w14:paraId="0C88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070E3AC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16</w:t>
            </w:r>
          </w:p>
        </w:tc>
        <w:tc>
          <w:tcPr>
            <w:tcW w:w="13847" w:type="dxa"/>
            <w:noWrap w:val="0"/>
            <w:vAlign w:val="top"/>
          </w:tcPr>
          <w:p w14:paraId="48E8B452">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sz w:val="30"/>
                <w:szCs w:val="30"/>
              </w:rPr>
              <w:t>对评审专家履职评价不实或恶意评价，经评审专家申诉有效的；</w:t>
            </w:r>
          </w:p>
        </w:tc>
      </w:tr>
      <w:tr w14:paraId="6F9F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6B0CE2B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17</w:t>
            </w:r>
          </w:p>
        </w:tc>
        <w:tc>
          <w:tcPr>
            <w:tcW w:w="13847" w:type="dxa"/>
            <w:noWrap w:val="0"/>
            <w:vAlign w:val="top"/>
          </w:tcPr>
          <w:p w14:paraId="06694466">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sz w:val="30"/>
                <w:szCs w:val="30"/>
              </w:rPr>
              <w:t>依法需要终止采购活动，未发布项目</w:t>
            </w:r>
            <w:r>
              <w:rPr>
                <w:rFonts w:hint="eastAsia" w:ascii="仿宋_GB2312" w:hAnsi="仿宋_GB2312" w:eastAsia="仿宋_GB2312" w:cs="仿宋_GB2312"/>
                <w:sz w:val="30"/>
                <w:szCs w:val="30"/>
                <w:lang w:eastAsia="zh-CN"/>
              </w:rPr>
              <w:t>更正</w:t>
            </w:r>
            <w:r>
              <w:rPr>
                <w:rFonts w:hint="eastAsia" w:ascii="仿宋_GB2312" w:hAnsi="仿宋_GB2312" w:eastAsia="仿宋_GB2312" w:cs="仿宋_GB2312"/>
                <w:sz w:val="30"/>
                <w:szCs w:val="30"/>
              </w:rPr>
              <w:t>公告并说明原因的；</w:t>
            </w:r>
          </w:p>
        </w:tc>
      </w:tr>
      <w:tr w14:paraId="1F9E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55B20E7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18</w:t>
            </w:r>
          </w:p>
        </w:tc>
        <w:tc>
          <w:tcPr>
            <w:tcW w:w="13847" w:type="dxa"/>
            <w:noWrap w:val="0"/>
            <w:vAlign w:val="top"/>
          </w:tcPr>
          <w:p w14:paraId="2A2E36A9">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sz w:val="30"/>
                <w:szCs w:val="30"/>
              </w:rPr>
              <w:t>在评审过程中，给评审专家阅读采购文件和投标（响应）文件时间不够充足，或者无正当理由催促评审专家尽快结束评审的；</w:t>
            </w:r>
          </w:p>
        </w:tc>
      </w:tr>
      <w:tr w14:paraId="4189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787EA0A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19</w:t>
            </w:r>
          </w:p>
        </w:tc>
        <w:tc>
          <w:tcPr>
            <w:tcW w:w="13847" w:type="dxa"/>
            <w:noWrap w:val="0"/>
            <w:vAlign w:val="top"/>
          </w:tcPr>
          <w:p w14:paraId="609F6565">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sz w:val="30"/>
                <w:szCs w:val="30"/>
              </w:rPr>
              <w:t>采用最低评标价法的项目，出现非最低价成交情况时，未提醒评委对低价未成交理由作出说明，并予以详细记录的；</w:t>
            </w:r>
          </w:p>
        </w:tc>
      </w:tr>
      <w:tr w14:paraId="7626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45F20C1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20</w:t>
            </w:r>
          </w:p>
        </w:tc>
        <w:tc>
          <w:tcPr>
            <w:tcW w:w="13847" w:type="dxa"/>
            <w:noWrap w:val="0"/>
            <w:vAlign w:val="top"/>
          </w:tcPr>
          <w:p w14:paraId="11727DF6">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sz w:val="30"/>
                <w:szCs w:val="30"/>
              </w:rPr>
              <w:t>未按规定对采购文件中涉及废标、无效投标、无效报价等有关重要内容予以宣读，未提请评审委员会成员认真核对采购文件资格、评分标准有关条款的；</w:t>
            </w:r>
          </w:p>
        </w:tc>
      </w:tr>
      <w:tr w14:paraId="6FFD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6C45085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21</w:t>
            </w:r>
          </w:p>
        </w:tc>
        <w:tc>
          <w:tcPr>
            <w:tcW w:w="13847" w:type="dxa"/>
            <w:noWrap w:val="0"/>
            <w:vAlign w:val="top"/>
          </w:tcPr>
          <w:p w14:paraId="16C4E24B">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组织样品评审和样品保管不符合有关规定的</w:t>
            </w:r>
            <w:r>
              <w:rPr>
                <w:rFonts w:hint="eastAsia" w:ascii="仿宋_GB2312" w:hAnsi="仿宋_GB2312" w:eastAsia="仿宋_GB2312" w:cs="仿宋_GB2312"/>
                <w:sz w:val="30"/>
                <w:szCs w:val="30"/>
                <w:lang w:eastAsia="zh-CN"/>
              </w:rPr>
              <w:t>；</w:t>
            </w:r>
          </w:p>
        </w:tc>
      </w:tr>
      <w:tr w14:paraId="47FE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5134BA2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22</w:t>
            </w:r>
          </w:p>
        </w:tc>
        <w:tc>
          <w:tcPr>
            <w:tcW w:w="13847" w:type="dxa"/>
            <w:noWrap w:val="0"/>
            <w:vAlign w:val="top"/>
          </w:tcPr>
          <w:p w14:paraId="620733E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未按规定标准支付评审专家费用的；</w:t>
            </w:r>
          </w:p>
        </w:tc>
      </w:tr>
      <w:tr w14:paraId="75CB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21F8590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23</w:t>
            </w:r>
          </w:p>
        </w:tc>
        <w:tc>
          <w:tcPr>
            <w:tcW w:w="13847" w:type="dxa"/>
            <w:noWrap w:val="0"/>
            <w:vAlign w:val="top"/>
          </w:tcPr>
          <w:p w14:paraId="7F750EA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sz w:val="30"/>
                <w:szCs w:val="30"/>
              </w:rPr>
              <w:t>政府采购活动相关记录内容不完整、不准确的；</w:t>
            </w:r>
          </w:p>
        </w:tc>
      </w:tr>
      <w:tr w14:paraId="65D0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7AB4B85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24</w:t>
            </w:r>
          </w:p>
        </w:tc>
        <w:tc>
          <w:tcPr>
            <w:tcW w:w="13847" w:type="dxa"/>
            <w:noWrap w:val="0"/>
            <w:vAlign w:val="top"/>
          </w:tcPr>
          <w:p w14:paraId="106AE7AC">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同一采购项目的归档文件与发出的采购文件、网上公告信息内容不一致的；</w:t>
            </w:r>
          </w:p>
        </w:tc>
      </w:tr>
      <w:tr w14:paraId="00F2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0AE462D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25</w:t>
            </w:r>
          </w:p>
        </w:tc>
        <w:tc>
          <w:tcPr>
            <w:tcW w:w="13847" w:type="dxa"/>
            <w:noWrap w:val="0"/>
            <w:vAlign w:val="top"/>
          </w:tcPr>
          <w:p w14:paraId="76514800">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未制订、执行政府采购档案管理制度，或者政府采购归档资料不完整、不及时的；</w:t>
            </w:r>
          </w:p>
        </w:tc>
      </w:tr>
      <w:tr w14:paraId="7351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3C8BBDB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26</w:t>
            </w:r>
          </w:p>
        </w:tc>
        <w:tc>
          <w:tcPr>
            <w:tcW w:w="13847" w:type="dxa"/>
            <w:noWrap w:val="0"/>
            <w:vAlign w:val="top"/>
          </w:tcPr>
          <w:p w14:paraId="64B2232F">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代理机构内部管理制度不健全的，或不按管理制度执行的；</w:t>
            </w:r>
          </w:p>
        </w:tc>
      </w:tr>
      <w:tr w14:paraId="6224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12D6FBB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27</w:t>
            </w:r>
          </w:p>
        </w:tc>
        <w:tc>
          <w:tcPr>
            <w:tcW w:w="13847" w:type="dxa"/>
            <w:noWrap w:val="0"/>
            <w:vAlign w:val="top"/>
          </w:tcPr>
          <w:p w14:paraId="227D3FE5">
            <w:pPr>
              <w:keepNext w:val="0"/>
              <w:keepLines w:val="0"/>
              <w:pageBreakBefore w:val="0"/>
              <w:widowControl w:val="0"/>
              <w:tabs>
                <w:tab w:val="center" w:pos="4473"/>
              </w:tabs>
              <w:kinsoku/>
              <w:wordWrap/>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auto"/>
                <w:sz w:val="30"/>
                <w:szCs w:val="30"/>
              </w:rPr>
              <w:t>采购程序、采购文件等存在较重违法违规行为，致使供应商举报（或人民来信）、质疑、投诉，代理机构应承担责任，但能积极配合处理，消除损害结果的；</w:t>
            </w:r>
          </w:p>
        </w:tc>
      </w:tr>
      <w:tr w14:paraId="5910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1708540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28</w:t>
            </w:r>
          </w:p>
        </w:tc>
        <w:tc>
          <w:tcPr>
            <w:tcW w:w="13847" w:type="dxa"/>
            <w:noWrap w:val="0"/>
            <w:vAlign w:val="top"/>
          </w:tcPr>
          <w:p w14:paraId="1F7B9FD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color w:val="auto"/>
                <w:sz w:val="30"/>
                <w:szCs w:val="30"/>
                <w:lang w:eastAsia="zh-CN"/>
              </w:rPr>
              <w:t>已备案的代理机构在培训、学习中，专职从业人员存在代学、提供虚假培训证明等情形，意图获得能力评价加分的；</w:t>
            </w:r>
          </w:p>
        </w:tc>
      </w:tr>
      <w:tr w14:paraId="39BB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99" w:type="dxa"/>
            <w:gridSpan w:val="2"/>
            <w:noWrap w:val="0"/>
            <w:vAlign w:val="top"/>
          </w:tcPr>
          <w:p w14:paraId="786E1CF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eastAsia="zh-CN"/>
              </w:rPr>
              <w:t>一次记</w:t>
            </w:r>
            <w:r>
              <w:rPr>
                <w:rFonts w:hint="eastAsia" w:ascii="仿宋_GB2312" w:hAnsi="仿宋_GB2312" w:eastAsia="仿宋_GB2312" w:cs="仿宋_GB2312"/>
                <w:b/>
                <w:bCs/>
                <w:sz w:val="30"/>
                <w:szCs w:val="30"/>
                <w:lang w:val="en-US" w:eastAsia="zh-CN"/>
              </w:rPr>
              <w:t>6分</w:t>
            </w:r>
          </w:p>
        </w:tc>
      </w:tr>
      <w:tr w14:paraId="7E1C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250BD59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29</w:t>
            </w:r>
          </w:p>
        </w:tc>
        <w:tc>
          <w:tcPr>
            <w:tcW w:w="13847" w:type="dxa"/>
            <w:noWrap w:val="0"/>
            <w:vAlign w:val="top"/>
          </w:tcPr>
          <w:p w14:paraId="0851931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未与采购人签订委托代理协议</w:t>
            </w:r>
            <w:r>
              <w:rPr>
                <w:rFonts w:hint="eastAsia" w:ascii="仿宋_GB2312" w:hAnsi="仿宋_GB2312" w:eastAsia="仿宋_GB2312" w:cs="仿宋_GB2312"/>
                <w:sz w:val="30"/>
                <w:szCs w:val="30"/>
                <w:lang w:eastAsia="zh-CN"/>
              </w:rPr>
              <w:t>开展采购活动的；</w:t>
            </w:r>
          </w:p>
        </w:tc>
      </w:tr>
      <w:tr w14:paraId="74E2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65153FD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30</w:t>
            </w:r>
          </w:p>
        </w:tc>
        <w:tc>
          <w:tcPr>
            <w:tcW w:w="13847" w:type="dxa"/>
            <w:noWrap w:val="0"/>
            <w:vAlign w:val="top"/>
          </w:tcPr>
          <w:p w14:paraId="7EEAABC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明知采购人</w:t>
            </w:r>
            <w:r>
              <w:rPr>
                <w:rFonts w:hint="eastAsia" w:ascii="仿宋_GB2312" w:hAnsi="仿宋_GB2312" w:eastAsia="仿宋_GB2312" w:cs="仿宋_GB2312"/>
                <w:sz w:val="30"/>
                <w:szCs w:val="30"/>
                <w:lang w:eastAsia="zh-CN"/>
              </w:rPr>
              <w:t>采购需求存在违法违规情形，未提供专业性意见建议，</w:t>
            </w:r>
            <w:r>
              <w:rPr>
                <w:rFonts w:hint="eastAsia" w:ascii="仿宋_GB2312" w:hAnsi="仿宋_GB2312" w:eastAsia="仿宋_GB2312" w:cs="仿宋_GB2312"/>
                <w:sz w:val="30"/>
                <w:szCs w:val="30"/>
              </w:rPr>
              <w:t>仍然代理此类政府采购项目的；</w:t>
            </w:r>
          </w:p>
        </w:tc>
      </w:tr>
      <w:tr w14:paraId="3E91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0CCAAD3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31</w:t>
            </w:r>
          </w:p>
        </w:tc>
        <w:tc>
          <w:tcPr>
            <w:tcW w:w="13847" w:type="dxa"/>
            <w:noWrap w:val="0"/>
            <w:vAlign w:val="top"/>
          </w:tcPr>
          <w:p w14:paraId="6B57836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采购文件中的</w:t>
            </w:r>
            <w:r>
              <w:rPr>
                <w:rFonts w:hint="eastAsia" w:ascii="仿宋_GB2312" w:hAnsi="仿宋_GB2312" w:eastAsia="仿宋_GB2312" w:cs="仿宋_GB2312"/>
                <w:sz w:val="30"/>
                <w:szCs w:val="30"/>
              </w:rPr>
              <w:t>评分标准</w:t>
            </w:r>
            <w:r>
              <w:rPr>
                <w:rFonts w:hint="eastAsia" w:ascii="仿宋_GB2312" w:hAnsi="仿宋_GB2312" w:eastAsia="仿宋_GB2312" w:cs="仿宋_GB2312"/>
                <w:sz w:val="30"/>
                <w:szCs w:val="30"/>
                <w:lang w:eastAsia="zh-CN"/>
              </w:rPr>
              <w:t>、采购需求</w:t>
            </w:r>
            <w:r>
              <w:rPr>
                <w:rFonts w:hint="eastAsia" w:ascii="仿宋_GB2312" w:hAnsi="仿宋_GB2312" w:eastAsia="仿宋_GB2312" w:cs="仿宋_GB2312"/>
                <w:sz w:val="30"/>
                <w:szCs w:val="30"/>
              </w:rPr>
              <w:t>设置不合规，或者多数专家不能理解</w:t>
            </w:r>
            <w:r>
              <w:rPr>
                <w:rFonts w:hint="eastAsia" w:ascii="仿宋_GB2312" w:hAnsi="仿宋_GB2312" w:eastAsia="仿宋_GB2312" w:cs="仿宋_GB2312"/>
                <w:sz w:val="30"/>
                <w:szCs w:val="30"/>
                <w:lang w:eastAsia="zh-CN"/>
              </w:rPr>
              <w:t>不能继续评审</w:t>
            </w:r>
            <w:r>
              <w:rPr>
                <w:rFonts w:hint="eastAsia" w:ascii="仿宋_GB2312" w:hAnsi="仿宋_GB2312" w:eastAsia="仿宋_GB2312" w:cs="仿宋_GB2312"/>
                <w:sz w:val="30"/>
                <w:szCs w:val="30"/>
              </w:rPr>
              <w:t>的</w:t>
            </w:r>
            <w:r>
              <w:rPr>
                <w:rFonts w:hint="eastAsia" w:ascii="仿宋_GB2312" w:hAnsi="仿宋_GB2312" w:eastAsia="仿宋_GB2312" w:cs="仿宋_GB2312"/>
                <w:sz w:val="30"/>
                <w:szCs w:val="30"/>
                <w:lang w:eastAsia="zh-CN"/>
              </w:rPr>
              <w:t>；</w:t>
            </w:r>
          </w:p>
        </w:tc>
      </w:tr>
      <w:tr w14:paraId="3266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2F02ECE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32</w:t>
            </w:r>
          </w:p>
        </w:tc>
        <w:tc>
          <w:tcPr>
            <w:tcW w:w="13847" w:type="dxa"/>
            <w:noWrap w:val="0"/>
            <w:vAlign w:val="top"/>
          </w:tcPr>
          <w:p w14:paraId="16A528E0">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采购文件提供、澄清、修改、延长投标（响应）截止日期或者调整开标（响应）日期等未按规定时间执行的；</w:t>
            </w:r>
          </w:p>
        </w:tc>
      </w:tr>
      <w:tr w14:paraId="02E2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666F79F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33</w:t>
            </w:r>
          </w:p>
        </w:tc>
        <w:tc>
          <w:tcPr>
            <w:tcW w:w="13847" w:type="dxa"/>
            <w:noWrap w:val="0"/>
            <w:vAlign w:val="top"/>
          </w:tcPr>
          <w:p w14:paraId="448FBC7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在采购文件中，未体现有关政府采购政策功能（如优先强制采购节能产品和环境标志产品以及促进中小企业、监狱企业发展等）</w:t>
            </w:r>
            <w:r>
              <w:rPr>
                <w:rFonts w:hint="eastAsia" w:ascii="仿宋_GB2312" w:hAnsi="仿宋_GB2312" w:eastAsia="仿宋_GB2312" w:cs="仿宋_GB2312"/>
                <w:sz w:val="30"/>
                <w:szCs w:val="30"/>
                <w:lang w:eastAsia="zh-CN"/>
              </w:rPr>
              <w:t>；</w:t>
            </w:r>
          </w:p>
        </w:tc>
      </w:tr>
      <w:tr w14:paraId="0F21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4E1A845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34</w:t>
            </w:r>
          </w:p>
        </w:tc>
        <w:tc>
          <w:tcPr>
            <w:tcW w:w="13847" w:type="dxa"/>
            <w:noWrap w:val="0"/>
            <w:vAlign w:val="top"/>
          </w:tcPr>
          <w:p w14:paraId="015C4C4A">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在组织开标、评审过程中，存在倾向性的解释或说明；</w:t>
            </w:r>
          </w:p>
        </w:tc>
      </w:tr>
      <w:tr w14:paraId="5990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3535E62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35</w:t>
            </w:r>
          </w:p>
        </w:tc>
        <w:tc>
          <w:tcPr>
            <w:tcW w:w="13847" w:type="dxa"/>
            <w:noWrap w:val="0"/>
            <w:vAlign w:val="top"/>
          </w:tcPr>
          <w:p w14:paraId="7CCE092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未按规定</w:t>
            </w:r>
            <w:r>
              <w:rPr>
                <w:rFonts w:hint="eastAsia" w:ascii="仿宋_GB2312" w:hAnsi="仿宋_GB2312" w:eastAsia="仿宋_GB2312" w:cs="仿宋_GB2312"/>
                <w:sz w:val="30"/>
                <w:szCs w:val="30"/>
                <w:lang w:eastAsia="zh-CN"/>
              </w:rPr>
              <w:t>执行</w:t>
            </w:r>
            <w:r>
              <w:rPr>
                <w:rFonts w:hint="eastAsia" w:ascii="仿宋_GB2312" w:hAnsi="仿宋_GB2312" w:eastAsia="仿宋_GB2312" w:cs="仿宋_GB2312"/>
                <w:sz w:val="30"/>
                <w:szCs w:val="30"/>
              </w:rPr>
              <w:t>进口产品采购</w:t>
            </w:r>
            <w:r>
              <w:rPr>
                <w:rFonts w:hint="eastAsia" w:ascii="仿宋_GB2312" w:hAnsi="仿宋_GB2312" w:eastAsia="仿宋_GB2312" w:cs="仿宋_GB2312"/>
                <w:sz w:val="30"/>
                <w:szCs w:val="30"/>
                <w:lang w:eastAsia="zh-CN"/>
              </w:rPr>
              <w:t>政策的；</w:t>
            </w:r>
          </w:p>
        </w:tc>
      </w:tr>
      <w:tr w14:paraId="1B2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2541119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36</w:t>
            </w:r>
          </w:p>
        </w:tc>
        <w:tc>
          <w:tcPr>
            <w:tcW w:w="13847" w:type="dxa"/>
            <w:noWrap w:val="0"/>
            <w:vAlign w:val="top"/>
          </w:tcPr>
          <w:p w14:paraId="1A1400C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未按规定时间发出中标（成交）通知书的；</w:t>
            </w:r>
          </w:p>
        </w:tc>
      </w:tr>
      <w:tr w14:paraId="0644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6840008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37</w:t>
            </w:r>
          </w:p>
        </w:tc>
        <w:tc>
          <w:tcPr>
            <w:tcW w:w="13847" w:type="dxa"/>
            <w:noWrap w:val="0"/>
            <w:vAlign w:val="top"/>
          </w:tcPr>
          <w:p w14:paraId="5D86755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未按规定</w:t>
            </w:r>
            <w:r>
              <w:rPr>
                <w:rFonts w:hint="eastAsia" w:ascii="仿宋_GB2312" w:hAnsi="仿宋_GB2312" w:eastAsia="仿宋_GB2312" w:cs="仿宋_GB2312"/>
                <w:sz w:val="30"/>
                <w:szCs w:val="30"/>
              </w:rPr>
              <w:t>发布中标（成交）结果或发布中标（成交）结果时</w:t>
            </w:r>
            <w:r>
              <w:rPr>
                <w:rFonts w:hint="eastAsia" w:ascii="仿宋_GB2312" w:hAnsi="仿宋_GB2312" w:eastAsia="仿宋_GB2312" w:cs="仿宋_GB2312"/>
                <w:sz w:val="30"/>
                <w:szCs w:val="30"/>
                <w:lang w:eastAsia="zh-CN"/>
              </w:rPr>
              <w:t>未发布中标（成交）供应商评审总得分的；</w:t>
            </w:r>
          </w:p>
        </w:tc>
      </w:tr>
      <w:tr w14:paraId="5042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0BA63EE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38</w:t>
            </w:r>
          </w:p>
        </w:tc>
        <w:tc>
          <w:tcPr>
            <w:tcW w:w="13847" w:type="dxa"/>
            <w:noWrap w:val="0"/>
            <w:vAlign w:val="top"/>
          </w:tcPr>
          <w:p w14:paraId="096D742C">
            <w:pPr>
              <w:keepNext w:val="0"/>
              <w:keepLines w:val="0"/>
              <w:pageBreakBefore w:val="0"/>
              <w:widowControl w:val="0"/>
              <w:tabs>
                <w:tab w:val="center" w:pos="4473"/>
              </w:tabs>
              <w:kinsoku/>
              <w:wordWrap/>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未根据采购人委托在规定时间内</w:t>
            </w:r>
            <w:r>
              <w:rPr>
                <w:rFonts w:hint="eastAsia" w:ascii="仿宋_GB2312" w:hAnsi="仿宋_GB2312" w:eastAsia="仿宋_GB2312" w:cs="仿宋_GB2312"/>
                <w:sz w:val="30"/>
                <w:szCs w:val="30"/>
                <w:lang w:eastAsia="zh-CN"/>
              </w:rPr>
              <w:t>公示政府采购合同的</w:t>
            </w:r>
            <w:r>
              <w:rPr>
                <w:rFonts w:hint="eastAsia" w:ascii="仿宋_GB2312" w:hAnsi="仿宋_GB2312" w:eastAsia="仿宋_GB2312" w:cs="仿宋_GB2312"/>
                <w:sz w:val="30"/>
                <w:szCs w:val="30"/>
              </w:rPr>
              <w:t>；</w:t>
            </w:r>
          </w:p>
        </w:tc>
      </w:tr>
      <w:tr w14:paraId="6038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525CA14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39</w:t>
            </w:r>
          </w:p>
        </w:tc>
        <w:tc>
          <w:tcPr>
            <w:tcW w:w="13847" w:type="dxa"/>
            <w:noWrap w:val="0"/>
            <w:vAlign w:val="top"/>
          </w:tcPr>
          <w:p w14:paraId="7E5446F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采购活动现场组织混乱，与评审无关的人员进入评审现场、评审过程中出现评审专家成员及现场工作人员查看或者使用手机等通讯工具、随意进出现场的；</w:t>
            </w:r>
          </w:p>
        </w:tc>
      </w:tr>
      <w:tr w14:paraId="3F3A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4AE8F35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40</w:t>
            </w:r>
          </w:p>
        </w:tc>
        <w:tc>
          <w:tcPr>
            <w:tcW w:w="13847" w:type="dxa"/>
            <w:noWrap w:val="0"/>
            <w:vAlign w:val="top"/>
          </w:tcPr>
          <w:p w14:paraId="6D77E3E2">
            <w:pPr>
              <w:keepNext w:val="0"/>
              <w:keepLines w:val="0"/>
              <w:pageBreakBefore w:val="0"/>
              <w:widowControl w:val="0"/>
              <w:tabs>
                <w:tab w:val="center" w:pos="4473"/>
              </w:tabs>
              <w:kinsoku/>
              <w:wordWrap/>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在代理业务中有明显过错且处置不当，或者因服务态度恶劣致使供应商举报、投诉，经查实，代理机构应承担责任的；</w:t>
            </w:r>
          </w:p>
        </w:tc>
      </w:tr>
      <w:tr w14:paraId="26DB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528B8C2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41</w:t>
            </w:r>
          </w:p>
        </w:tc>
        <w:tc>
          <w:tcPr>
            <w:tcW w:w="13847" w:type="dxa"/>
            <w:noWrap w:val="0"/>
            <w:vAlign w:val="top"/>
          </w:tcPr>
          <w:p w14:paraId="6A1BC92C">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在收到财政部门送达的投诉书副本后，未按照规定向财政部门报送情况说明，未提交相关证据、依据和其他有关材料的；</w:t>
            </w:r>
          </w:p>
        </w:tc>
      </w:tr>
      <w:tr w14:paraId="7BA2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99" w:type="dxa"/>
            <w:gridSpan w:val="2"/>
            <w:noWrap w:val="0"/>
            <w:vAlign w:val="top"/>
          </w:tcPr>
          <w:p w14:paraId="22B1B01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eastAsia="zh-CN"/>
              </w:rPr>
              <w:t>一次记</w:t>
            </w:r>
            <w:r>
              <w:rPr>
                <w:rFonts w:hint="eastAsia" w:ascii="仿宋_GB2312" w:hAnsi="仿宋_GB2312" w:eastAsia="仿宋_GB2312" w:cs="仿宋_GB2312"/>
                <w:b/>
                <w:bCs/>
                <w:sz w:val="30"/>
                <w:szCs w:val="30"/>
                <w:lang w:val="en-US" w:eastAsia="zh-CN"/>
              </w:rPr>
              <w:t>9分</w:t>
            </w:r>
          </w:p>
        </w:tc>
      </w:tr>
      <w:tr w14:paraId="274D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2B9A499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42</w:t>
            </w:r>
          </w:p>
        </w:tc>
        <w:tc>
          <w:tcPr>
            <w:tcW w:w="13847" w:type="dxa"/>
            <w:noWrap w:val="0"/>
            <w:vAlign w:val="top"/>
          </w:tcPr>
          <w:p w14:paraId="4283138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采购文件中设置的资格条件或评审因素对供应商实行差别待遇或歧视待遇；</w:t>
            </w:r>
          </w:p>
        </w:tc>
      </w:tr>
      <w:tr w14:paraId="31AA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692B76C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43</w:t>
            </w:r>
          </w:p>
        </w:tc>
        <w:tc>
          <w:tcPr>
            <w:tcW w:w="13847" w:type="dxa"/>
            <w:noWrap w:val="0"/>
            <w:vAlign w:val="top"/>
          </w:tcPr>
          <w:p w14:paraId="4D16B90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color w:val="auto"/>
                <w:sz w:val="30"/>
                <w:szCs w:val="30"/>
                <w:lang w:val="en-US" w:eastAsia="zh-CN"/>
              </w:rPr>
              <w:t>收取或者退还保证金不符合有关规定的；</w:t>
            </w:r>
          </w:p>
        </w:tc>
      </w:tr>
      <w:tr w14:paraId="0A4A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597B0AC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44</w:t>
            </w:r>
          </w:p>
        </w:tc>
        <w:tc>
          <w:tcPr>
            <w:tcW w:w="13847" w:type="dxa"/>
            <w:noWrap w:val="0"/>
            <w:vAlign w:val="top"/>
          </w:tcPr>
          <w:p w14:paraId="6988636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t>违规收取采购文件费用的；</w:t>
            </w:r>
          </w:p>
        </w:tc>
      </w:tr>
      <w:tr w14:paraId="7EC6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4000667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45</w:t>
            </w:r>
          </w:p>
        </w:tc>
        <w:tc>
          <w:tcPr>
            <w:tcW w:w="13847" w:type="dxa"/>
            <w:noWrap w:val="0"/>
            <w:vAlign w:val="top"/>
          </w:tcPr>
          <w:p w14:paraId="3203FFB1">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sz w:val="30"/>
                <w:szCs w:val="30"/>
                <w:lang w:eastAsia="zh-CN"/>
              </w:rPr>
              <w:t>未依法送达询问或者质疑答复的；</w:t>
            </w:r>
          </w:p>
        </w:tc>
      </w:tr>
      <w:tr w14:paraId="6671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7D5B29F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46</w:t>
            </w:r>
          </w:p>
        </w:tc>
        <w:tc>
          <w:tcPr>
            <w:tcW w:w="13847" w:type="dxa"/>
            <w:noWrap w:val="0"/>
            <w:vAlign w:val="top"/>
          </w:tcPr>
          <w:p w14:paraId="5F34B8C0">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在处理询问、质疑中存在下列情形之一的：</w:t>
            </w:r>
          </w:p>
          <w:p w14:paraId="19AAAE5A">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拒收法定期限内适格供应商提出的询问、质疑的；</w:t>
            </w:r>
          </w:p>
          <w:p w14:paraId="70BC2CF3">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询问、质疑答复未针对询问、质疑的事项，导致投诉成立或一年内收到三次及以上投诉的；</w:t>
            </w:r>
          </w:p>
          <w:p w14:paraId="35B80FD9">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询问、质疑答复违背客观事实，或者在处理过程中违反有关保密规定的；</w:t>
            </w:r>
          </w:p>
          <w:p w14:paraId="47663AC5">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未按规定向财政部门报告质疑处理情况资料的；</w:t>
            </w:r>
          </w:p>
          <w:p w14:paraId="3A0A09D1">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在处理询问、质疑过程中存在其他违法违规行为。</w:t>
            </w:r>
          </w:p>
        </w:tc>
      </w:tr>
      <w:tr w14:paraId="3BD1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5BE7E1B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47</w:t>
            </w:r>
          </w:p>
        </w:tc>
        <w:tc>
          <w:tcPr>
            <w:tcW w:w="13847" w:type="dxa"/>
            <w:noWrap w:val="0"/>
            <w:vAlign w:val="top"/>
          </w:tcPr>
          <w:p w14:paraId="26ACE8F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sz w:val="30"/>
                <w:szCs w:val="30"/>
              </w:rPr>
              <w:t>引导或协助采购人违规操作的；</w:t>
            </w:r>
          </w:p>
        </w:tc>
      </w:tr>
      <w:tr w14:paraId="16B3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47E84E8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48</w:t>
            </w:r>
          </w:p>
        </w:tc>
        <w:tc>
          <w:tcPr>
            <w:tcW w:w="13847" w:type="dxa"/>
            <w:noWrap w:val="0"/>
            <w:vAlign w:val="top"/>
          </w:tcPr>
          <w:p w14:paraId="2994E87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在采购过程中发现违法违规情况，未及时向监管部门上报或者隐瞒实情的。</w:t>
            </w:r>
          </w:p>
        </w:tc>
      </w:tr>
      <w:tr w14:paraId="4B8B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7C4EE76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49</w:t>
            </w:r>
          </w:p>
        </w:tc>
        <w:tc>
          <w:tcPr>
            <w:tcW w:w="13847" w:type="dxa"/>
            <w:noWrap w:val="0"/>
            <w:vAlign w:val="top"/>
          </w:tcPr>
          <w:p w14:paraId="7DA22B8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left"/>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sz w:val="30"/>
                <w:szCs w:val="30"/>
                <w:lang w:eastAsia="zh-CN"/>
              </w:rPr>
              <w:t xml:space="preserve">因装订、纸张、文件排序、要求供应商法定代表人不必要的签章等非实质性的格式、形式问题限制和影响供应商投标（响应）的 </w:t>
            </w:r>
          </w:p>
        </w:tc>
      </w:tr>
      <w:tr w14:paraId="234D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99" w:type="dxa"/>
            <w:gridSpan w:val="2"/>
            <w:noWrap w:val="0"/>
            <w:vAlign w:val="top"/>
          </w:tcPr>
          <w:p w14:paraId="3D509CC3">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eastAsia="zh-CN"/>
              </w:rPr>
              <w:t>一次记</w:t>
            </w:r>
            <w:r>
              <w:rPr>
                <w:rFonts w:hint="eastAsia" w:ascii="仿宋_GB2312" w:hAnsi="仿宋_GB2312" w:eastAsia="仿宋_GB2312" w:cs="仿宋_GB2312"/>
                <w:b/>
                <w:bCs/>
                <w:sz w:val="30"/>
                <w:szCs w:val="30"/>
                <w:lang w:val="en-US" w:eastAsia="zh-CN"/>
              </w:rPr>
              <w:t>15分</w:t>
            </w:r>
          </w:p>
        </w:tc>
      </w:tr>
      <w:tr w14:paraId="4189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6C7462C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50</w:t>
            </w:r>
          </w:p>
        </w:tc>
        <w:tc>
          <w:tcPr>
            <w:tcW w:w="13847" w:type="dxa"/>
            <w:noWrap w:val="0"/>
            <w:vAlign w:val="top"/>
          </w:tcPr>
          <w:p w14:paraId="30F0D48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一年内受到三次及以上投诉并成立的</w:t>
            </w:r>
          </w:p>
        </w:tc>
      </w:tr>
      <w:tr w14:paraId="44D6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4EC1F47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51</w:t>
            </w:r>
          </w:p>
        </w:tc>
        <w:tc>
          <w:tcPr>
            <w:tcW w:w="13847" w:type="dxa"/>
            <w:noWrap w:val="0"/>
            <w:vAlign w:val="top"/>
          </w:tcPr>
          <w:p w14:paraId="66A21F92">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瞒报、虚报、乱报或未及时提供财政部门要求的有关信息的；</w:t>
            </w:r>
          </w:p>
        </w:tc>
      </w:tr>
      <w:tr w14:paraId="05C6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6DD7A66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52</w:t>
            </w:r>
          </w:p>
        </w:tc>
        <w:tc>
          <w:tcPr>
            <w:tcW w:w="13847" w:type="dxa"/>
            <w:noWrap w:val="0"/>
            <w:vAlign w:val="top"/>
          </w:tcPr>
          <w:p w14:paraId="70328912">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在各级财政部门组织的各类检查中，不配合财政部门的；</w:t>
            </w:r>
          </w:p>
        </w:tc>
      </w:tr>
      <w:tr w14:paraId="3513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414AC1B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53</w:t>
            </w:r>
          </w:p>
        </w:tc>
        <w:tc>
          <w:tcPr>
            <w:tcW w:w="13847" w:type="dxa"/>
            <w:noWrap w:val="0"/>
            <w:vAlign w:val="top"/>
          </w:tcPr>
          <w:p w14:paraId="43EFFE4C">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擅自代理未经财政部门备案采购实施计划的政府采购项目的；</w:t>
            </w:r>
          </w:p>
        </w:tc>
      </w:tr>
      <w:tr w14:paraId="3FE5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74AEE3D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54</w:t>
            </w:r>
          </w:p>
        </w:tc>
        <w:tc>
          <w:tcPr>
            <w:tcW w:w="13847" w:type="dxa"/>
            <w:noWrap w:val="0"/>
            <w:vAlign w:val="top"/>
          </w:tcPr>
          <w:p w14:paraId="1E3BCDD8">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擅自代理应由集中采购机构执行的政府采购项目的；</w:t>
            </w:r>
          </w:p>
        </w:tc>
      </w:tr>
      <w:tr w14:paraId="5967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25608AC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55</w:t>
            </w:r>
          </w:p>
        </w:tc>
        <w:tc>
          <w:tcPr>
            <w:tcW w:w="13847" w:type="dxa"/>
            <w:noWrap w:val="0"/>
            <w:vAlign w:val="top"/>
          </w:tcPr>
          <w:p w14:paraId="43971240">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采购程序、采购文件等存在违法违规行为，致使供应商举报（或</w:t>
            </w:r>
            <w:r>
              <w:rPr>
                <w:rFonts w:hint="eastAsia" w:ascii="仿宋_GB2312" w:hAnsi="仿宋_GB2312" w:eastAsia="仿宋_GB2312" w:cs="仿宋_GB2312"/>
                <w:sz w:val="30"/>
                <w:szCs w:val="30"/>
                <w:lang w:eastAsia="zh-CN"/>
              </w:rPr>
              <w:t>信访</w:t>
            </w:r>
            <w:r>
              <w:rPr>
                <w:rFonts w:hint="eastAsia" w:ascii="仿宋_GB2312" w:hAnsi="仿宋_GB2312" w:eastAsia="仿宋_GB2312" w:cs="仿宋_GB2312"/>
                <w:sz w:val="30"/>
                <w:szCs w:val="30"/>
              </w:rPr>
              <w:t>）、质疑、投诉，代理机构应承担责任，且未积极配合处理，造成不良影响的；</w:t>
            </w:r>
          </w:p>
        </w:tc>
      </w:tr>
      <w:tr w14:paraId="0CE6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99" w:type="dxa"/>
            <w:gridSpan w:val="2"/>
            <w:noWrap w:val="0"/>
            <w:vAlign w:val="top"/>
          </w:tcPr>
          <w:p w14:paraId="4C82E89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eastAsia="zh-CN"/>
              </w:rPr>
              <w:t>一次记</w:t>
            </w:r>
            <w:r>
              <w:rPr>
                <w:rFonts w:hint="eastAsia" w:ascii="仿宋_GB2312" w:hAnsi="仿宋_GB2312" w:eastAsia="仿宋_GB2312" w:cs="仿宋_GB2312"/>
                <w:b/>
                <w:bCs/>
                <w:sz w:val="30"/>
                <w:szCs w:val="30"/>
                <w:lang w:val="en-US" w:eastAsia="zh-CN"/>
              </w:rPr>
              <w:t>20分</w:t>
            </w:r>
          </w:p>
        </w:tc>
      </w:tr>
      <w:tr w14:paraId="2135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761B305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56</w:t>
            </w:r>
          </w:p>
        </w:tc>
        <w:tc>
          <w:tcPr>
            <w:tcW w:w="13847" w:type="dxa"/>
            <w:noWrap w:val="0"/>
            <w:vAlign w:val="top"/>
          </w:tcPr>
          <w:p w14:paraId="459F203A">
            <w:pPr>
              <w:keepNext w:val="0"/>
              <w:keepLines w:val="0"/>
              <w:pageBreakBefore w:val="0"/>
              <w:widowControl w:val="0"/>
              <w:tabs>
                <w:tab w:val="center" w:pos="4473"/>
              </w:tabs>
              <w:kinsoku/>
              <w:wordWrap/>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未按照规定编制采购文件</w:t>
            </w:r>
            <w:r>
              <w:rPr>
                <w:rFonts w:hint="eastAsia" w:ascii="仿宋_GB2312" w:hAnsi="仿宋_GB2312" w:eastAsia="仿宋_GB2312" w:cs="仿宋_GB2312"/>
                <w:sz w:val="30"/>
                <w:szCs w:val="30"/>
                <w:lang w:eastAsia="zh-CN"/>
              </w:rPr>
              <w:t>、开展采购活动，</w:t>
            </w:r>
            <w:r>
              <w:rPr>
                <w:rFonts w:hint="eastAsia" w:ascii="仿宋_GB2312" w:hAnsi="仿宋_GB2312" w:eastAsia="仿宋_GB2312" w:cs="仿宋_GB2312"/>
                <w:sz w:val="30"/>
                <w:szCs w:val="30"/>
              </w:rPr>
              <w:t>致使国家财产遭受损失的；</w:t>
            </w:r>
          </w:p>
        </w:tc>
      </w:tr>
      <w:tr w14:paraId="094F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3ECB037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57</w:t>
            </w:r>
          </w:p>
        </w:tc>
        <w:tc>
          <w:tcPr>
            <w:tcW w:w="13847" w:type="dxa"/>
            <w:noWrap w:val="0"/>
            <w:vAlign w:val="top"/>
          </w:tcPr>
          <w:p w14:paraId="6C8A3F6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代理机构登记注册信息时提供虚假、伪造材料的；</w:t>
            </w:r>
          </w:p>
        </w:tc>
      </w:tr>
      <w:tr w14:paraId="0C80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375A380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58</w:t>
            </w:r>
          </w:p>
        </w:tc>
        <w:tc>
          <w:tcPr>
            <w:tcW w:w="13847" w:type="dxa"/>
            <w:noWrap w:val="0"/>
            <w:vAlign w:val="top"/>
          </w:tcPr>
          <w:p w14:paraId="06C93661">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代理机构从业人员恶意诋毁、排挤其他代理机构，或唆使供应商恶意投诉的；</w:t>
            </w:r>
          </w:p>
        </w:tc>
      </w:tr>
      <w:tr w14:paraId="29B5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63B8DF6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59</w:t>
            </w:r>
          </w:p>
        </w:tc>
        <w:tc>
          <w:tcPr>
            <w:tcW w:w="13847" w:type="dxa"/>
            <w:noWrap w:val="0"/>
            <w:vAlign w:val="top"/>
          </w:tcPr>
          <w:p w14:paraId="47395524">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以不正当手段获取政府采购代理业务的；</w:t>
            </w:r>
          </w:p>
        </w:tc>
      </w:tr>
      <w:tr w14:paraId="570E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0BA886F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60</w:t>
            </w:r>
          </w:p>
        </w:tc>
        <w:tc>
          <w:tcPr>
            <w:tcW w:w="13847" w:type="dxa"/>
            <w:noWrap w:val="0"/>
            <w:vAlign w:val="top"/>
          </w:tcPr>
          <w:p w14:paraId="1B903577">
            <w:pPr>
              <w:keepNext w:val="0"/>
              <w:keepLines w:val="0"/>
              <w:pageBreakBefore w:val="0"/>
              <w:widowControl w:val="0"/>
              <w:tabs>
                <w:tab w:val="center" w:pos="4473"/>
              </w:tabs>
              <w:kinsoku/>
              <w:wordWrap/>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与采购人、供应商、评审专家恶意串通操纵政府采购活动的；</w:t>
            </w:r>
          </w:p>
        </w:tc>
      </w:tr>
      <w:tr w14:paraId="4F690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3A9FAB4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61</w:t>
            </w:r>
          </w:p>
        </w:tc>
        <w:tc>
          <w:tcPr>
            <w:tcW w:w="13847" w:type="dxa"/>
            <w:noWrap w:val="0"/>
            <w:vAlign w:val="top"/>
          </w:tcPr>
          <w:p w14:paraId="79FB96C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在采购过程中接受贿赂或者获取其他不正当利益的；</w:t>
            </w:r>
          </w:p>
        </w:tc>
      </w:tr>
      <w:tr w14:paraId="327C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47FBD8F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62</w:t>
            </w:r>
          </w:p>
        </w:tc>
        <w:tc>
          <w:tcPr>
            <w:tcW w:w="13847" w:type="dxa"/>
            <w:noWrap w:val="0"/>
            <w:vAlign w:val="top"/>
          </w:tcPr>
          <w:p w14:paraId="43B54673">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在有关部门依法实施的监督检查中提供虚假情况的；</w:t>
            </w:r>
          </w:p>
        </w:tc>
      </w:tr>
      <w:tr w14:paraId="7421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2B5C80B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63</w:t>
            </w:r>
          </w:p>
        </w:tc>
        <w:tc>
          <w:tcPr>
            <w:tcW w:w="13847" w:type="dxa"/>
            <w:noWrap w:val="0"/>
            <w:vAlign w:val="top"/>
          </w:tcPr>
          <w:p w14:paraId="54F01C84">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违反规定隐匿、销毁应当保存的采购文件或者伪造、变造采购文件的；</w:t>
            </w:r>
          </w:p>
        </w:tc>
      </w:tr>
      <w:tr w14:paraId="7353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2BEDDD13">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64</w:t>
            </w:r>
          </w:p>
        </w:tc>
        <w:tc>
          <w:tcPr>
            <w:tcW w:w="13847" w:type="dxa"/>
            <w:noWrap w:val="0"/>
            <w:vAlign w:val="top"/>
          </w:tcPr>
          <w:p w14:paraId="3939907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代理机构在所代理的采购项目中投标或代理投标，或</w:t>
            </w:r>
            <w:r>
              <w:rPr>
                <w:rFonts w:hint="eastAsia" w:ascii="仿宋_GB2312" w:hAnsi="仿宋_GB2312" w:eastAsia="仿宋_GB2312" w:cs="仿宋_GB2312"/>
                <w:sz w:val="30"/>
                <w:szCs w:val="30"/>
                <w:lang w:eastAsia="zh-CN"/>
              </w:rPr>
              <w:t>为</w:t>
            </w:r>
            <w:r>
              <w:rPr>
                <w:rFonts w:hint="eastAsia" w:ascii="仿宋_GB2312" w:hAnsi="仿宋_GB2312" w:eastAsia="仿宋_GB2312" w:cs="仿宋_GB2312"/>
                <w:sz w:val="30"/>
                <w:szCs w:val="30"/>
              </w:rPr>
              <w:t>采购项目的投标人参加本项目提供投标咨询的；</w:t>
            </w:r>
          </w:p>
        </w:tc>
      </w:tr>
      <w:tr w14:paraId="3730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61D3A07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65</w:t>
            </w:r>
          </w:p>
        </w:tc>
        <w:tc>
          <w:tcPr>
            <w:tcW w:w="13847" w:type="dxa"/>
            <w:noWrap w:val="0"/>
            <w:vAlign w:val="top"/>
          </w:tcPr>
          <w:p w14:paraId="78C154DD">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泄露已获取采购文件的潜在供应商的名称、数量、标底及评审专家等信息的，或者其他可能影响公平竞争的有关招标投标情况的。</w:t>
            </w:r>
          </w:p>
        </w:tc>
      </w:tr>
      <w:tr w14:paraId="474E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5B11C96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66</w:t>
            </w:r>
          </w:p>
        </w:tc>
        <w:tc>
          <w:tcPr>
            <w:tcW w:w="13847" w:type="dxa"/>
            <w:noWrap w:val="0"/>
            <w:vAlign w:val="top"/>
          </w:tcPr>
          <w:p w14:paraId="6A9546B9">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擅自将电子开评标程序变更为线下开评标程序的；</w:t>
            </w:r>
          </w:p>
        </w:tc>
      </w:tr>
      <w:tr w14:paraId="43A3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58AC921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67</w:t>
            </w:r>
          </w:p>
        </w:tc>
        <w:tc>
          <w:tcPr>
            <w:tcW w:w="13847" w:type="dxa"/>
            <w:noWrap w:val="0"/>
            <w:vAlign w:val="top"/>
          </w:tcPr>
          <w:p w14:paraId="1E7A4EC0">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bidi="ar"/>
              </w:rPr>
              <w:t>未按规定对开标、评审活动进行全程录音录像，录音录像不清晰可辨的；</w:t>
            </w:r>
          </w:p>
        </w:tc>
      </w:tr>
      <w:tr w14:paraId="1588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noWrap w:val="0"/>
            <w:vAlign w:val="top"/>
          </w:tcPr>
          <w:p w14:paraId="72D9C4B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68</w:t>
            </w:r>
          </w:p>
        </w:tc>
        <w:tc>
          <w:tcPr>
            <w:tcW w:w="13847" w:type="dxa"/>
            <w:noWrap w:val="0"/>
            <w:vAlign w:val="top"/>
          </w:tcPr>
          <w:p w14:paraId="17B20E46">
            <w:pPr>
              <w:keepNext w:val="0"/>
              <w:keepLines w:val="0"/>
              <w:pageBreakBefore w:val="0"/>
              <w:widowControl w:val="0"/>
              <w:kinsoku/>
              <w:wordWrap/>
              <w:overflowPunct w:val="0"/>
              <w:topLinePunct w:val="0"/>
              <w:autoSpaceDE/>
              <w:autoSpaceDN/>
              <w:bidi w:val="0"/>
              <w:adjustRightInd/>
              <w:snapToGrid/>
              <w:spacing w:line="560" w:lineRule="exact"/>
              <w:ind w:right="0"/>
              <w:textAlignment w:val="auto"/>
              <w:rPr>
                <w:rFonts w:hint="eastAsia" w:ascii="仿宋_GB2312" w:hAnsi="仿宋_GB2312" w:eastAsia="仿宋_GB2312" w:cs="仿宋_GB2312"/>
                <w:kern w:val="0"/>
                <w:sz w:val="30"/>
                <w:szCs w:val="30"/>
                <w:lang w:bidi="ar"/>
              </w:rPr>
            </w:pPr>
            <w:r>
              <w:rPr>
                <w:rFonts w:hint="eastAsia" w:ascii="仿宋_GB2312" w:hAnsi="仿宋_GB2312" w:eastAsia="仿宋_GB2312" w:cs="仿宋_GB2312"/>
                <w:kern w:val="0"/>
                <w:sz w:val="30"/>
                <w:szCs w:val="30"/>
                <w:lang w:bidi="ar"/>
              </w:rPr>
              <w:t>通过对样品进行检测、对供应商进行考察等方式</w:t>
            </w:r>
            <w:r>
              <w:rPr>
                <w:rFonts w:hint="eastAsia" w:ascii="仿宋_GB2312" w:hAnsi="仿宋_GB2312" w:eastAsia="仿宋_GB2312" w:cs="仿宋_GB2312"/>
                <w:kern w:val="0"/>
                <w:sz w:val="30"/>
                <w:szCs w:val="30"/>
                <w:lang w:eastAsia="zh-CN" w:bidi="ar"/>
              </w:rPr>
              <w:t>擅自</w:t>
            </w:r>
            <w:r>
              <w:rPr>
                <w:rFonts w:hint="eastAsia" w:ascii="仿宋_GB2312" w:hAnsi="仿宋_GB2312" w:eastAsia="仿宋_GB2312" w:cs="仿宋_GB2312"/>
                <w:kern w:val="0"/>
                <w:sz w:val="30"/>
                <w:szCs w:val="30"/>
                <w:lang w:bidi="ar"/>
              </w:rPr>
              <w:t>改变评审结果</w:t>
            </w:r>
            <w:r>
              <w:rPr>
                <w:rFonts w:hint="eastAsia" w:ascii="仿宋_GB2312" w:hAnsi="仿宋_GB2312" w:eastAsia="仿宋_GB2312" w:cs="仿宋_GB2312"/>
                <w:kern w:val="0"/>
                <w:sz w:val="30"/>
                <w:szCs w:val="30"/>
                <w:lang w:eastAsia="zh-CN" w:bidi="ar"/>
              </w:rPr>
              <w:t>的；</w:t>
            </w:r>
          </w:p>
        </w:tc>
      </w:tr>
    </w:tbl>
    <w:p w14:paraId="39F52C7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textAlignment w:val="auto"/>
        <w:rPr>
          <w:rFonts w:hint="eastAsia" w:ascii="仿宋_GB2312" w:hAnsi="仿宋_GB2312" w:eastAsia="仿宋_GB2312"/>
          <w:sz w:val="32"/>
          <w:lang w:eastAsia="zh-CN"/>
        </w:rPr>
        <w:sectPr>
          <w:pgSz w:w="16838" w:h="11906" w:orient="landscape"/>
          <w:pgMar w:top="1871" w:right="1440" w:bottom="1701" w:left="1440" w:header="851" w:footer="992" w:gutter="0"/>
          <w:pgNumType w:fmt="decimal"/>
          <w:cols w:space="0" w:num="1"/>
          <w:rtlGutter w:val="0"/>
          <w:docGrid w:type="lines" w:linePitch="312" w:charSpace="0"/>
        </w:sectPr>
      </w:pPr>
    </w:p>
    <w:p w14:paraId="10B550DD">
      <w:pPr>
        <w:keepNext w:val="0"/>
        <w:keepLines w:val="0"/>
        <w:pageBreakBefore w:val="0"/>
        <w:tabs>
          <w:tab w:val="center" w:pos="4473"/>
        </w:tabs>
        <w:kinsoku/>
        <w:wordWrap/>
        <w:topLinePunct w:val="0"/>
        <w:autoSpaceDE/>
        <w:bidi w:val="0"/>
        <w:adjustRightInd/>
        <w:snapToGrid/>
        <w:spacing w:line="560" w:lineRule="exact"/>
        <w:ind w:right="0"/>
        <w:jc w:val="both"/>
        <w:textAlignment w:val="auto"/>
        <w:rPr>
          <w:rFonts w:hint="eastAsia" w:ascii="华文中宋" w:hAnsi="华文中宋" w:eastAsia="黑体"/>
          <w:b w:val="0"/>
          <w:bCs/>
          <w:sz w:val="44"/>
          <w:szCs w:val="44"/>
          <w:lang w:val="en-US" w:eastAsia="zh-CN"/>
        </w:rPr>
      </w:pPr>
      <w:r>
        <w:rPr>
          <w:rFonts w:hint="eastAsia" w:ascii="黑体" w:hAnsi="黑体" w:eastAsia="黑体" w:cs="仿宋_GB2312"/>
          <w:sz w:val="32"/>
          <w:szCs w:val="32"/>
        </w:rPr>
        <w:t>附件</w:t>
      </w:r>
      <w:r>
        <w:rPr>
          <w:rFonts w:hint="eastAsia" w:ascii="黑体" w:hAnsi="黑体" w:eastAsia="黑体" w:cs="仿宋_GB2312"/>
          <w:sz w:val="32"/>
          <w:szCs w:val="32"/>
          <w:lang w:val="en-US" w:eastAsia="zh-CN"/>
        </w:rPr>
        <w:t>3</w:t>
      </w:r>
    </w:p>
    <w:p w14:paraId="62CE71F7">
      <w:pPr>
        <w:keepNext w:val="0"/>
        <w:keepLines w:val="0"/>
        <w:pageBreakBefore w:val="0"/>
        <w:tabs>
          <w:tab w:val="center" w:pos="4473"/>
        </w:tabs>
        <w:kinsoku/>
        <w:wordWrap/>
        <w:topLinePunct w:val="0"/>
        <w:autoSpaceDE/>
        <w:bidi w:val="0"/>
        <w:adjustRightInd/>
        <w:snapToGrid/>
        <w:spacing w:line="560" w:lineRule="exact"/>
        <w:ind w:right="0" w:firstLine="2200" w:firstLineChars="500"/>
        <w:jc w:val="both"/>
        <w:textAlignment w:val="auto"/>
        <w:rPr>
          <w:rFonts w:hint="eastAsia" w:ascii="华文中宋" w:hAnsi="华文中宋" w:eastAsia="华文中宋"/>
          <w:b w:val="0"/>
          <w:bCs/>
          <w:sz w:val="44"/>
          <w:szCs w:val="44"/>
        </w:rPr>
      </w:pPr>
      <w:r>
        <w:rPr>
          <w:rFonts w:hint="eastAsia" w:ascii="华文中宋" w:hAnsi="华文中宋" w:eastAsia="华文中宋"/>
          <w:b w:val="0"/>
          <w:bCs/>
          <w:sz w:val="44"/>
          <w:szCs w:val="44"/>
          <w:lang w:eastAsia="zh-CN"/>
        </w:rPr>
        <w:t>政府采购监督处理</w:t>
      </w:r>
      <w:r>
        <w:rPr>
          <w:rFonts w:hint="eastAsia" w:ascii="华文中宋" w:hAnsi="华文中宋" w:eastAsia="华文中宋"/>
          <w:b w:val="0"/>
          <w:bCs/>
          <w:sz w:val="44"/>
          <w:szCs w:val="44"/>
        </w:rPr>
        <w:t>通知书</w:t>
      </w:r>
    </w:p>
    <w:p w14:paraId="43647C15">
      <w:pPr>
        <w:keepNext w:val="0"/>
        <w:keepLines w:val="0"/>
        <w:pageBreakBefore w:val="0"/>
        <w:kinsoku/>
        <w:wordWrap/>
        <w:topLinePunct w:val="0"/>
        <w:autoSpaceDE/>
        <w:bidi w:val="0"/>
        <w:adjustRightInd/>
        <w:snapToGrid/>
        <w:spacing w:line="560" w:lineRule="exact"/>
        <w:ind w:left="0" w:leftChars="0" w:right="0" w:firstLine="560" w:firstLineChars="200"/>
        <w:jc w:val="center"/>
        <w:textAlignment w:val="auto"/>
        <w:rPr>
          <w:rFonts w:hint="eastAsia" w:ascii="仿宋_GB2312" w:eastAsia="仿宋_GB2312"/>
          <w:sz w:val="28"/>
          <w:szCs w:val="28"/>
        </w:rPr>
      </w:pPr>
      <w:r>
        <w:rPr>
          <w:rFonts w:hint="eastAsia" w:ascii="仿宋_GB2312" w:eastAsia="仿宋_GB2312"/>
          <w:sz w:val="28"/>
          <w:szCs w:val="28"/>
        </w:rPr>
        <w:t>青（市、州、县）财采</w:t>
      </w:r>
      <w:r>
        <w:rPr>
          <w:rFonts w:hint="eastAsia" w:ascii="仿宋_GB2312" w:eastAsia="仿宋_GB2312"/>
          <w:sz w:val="28"/>
          <w:szCs w:val="28"/>
          <w:lang w:eastAsia="zh-CN"/>
        </w:rPr>
        <w:t>监</w:t>
      </w:r>
      <w:r>
        <w:rPr>
          <w:rFonts w:hint="eastAsia" w:ascii="仿宋_GB2312" w:eastAsia="仿宋_GB2312"/>
          <w:sz w:val="28"/>
          <w:szCs w:val="28"/>
        </w:rPr>
        <w:t>字〔20   〕第  号</w:t>
      </w:r>
    </w:p>
    <w:p w14:paraId="4278C8DB">
      <w:pPr>
        <w:keepNext w:val="0"/>
        <w:keepLines w:val="0"/>
        <w:pageBreakBefore w:val="0"/>
        <w:kinsoku/>
        <w:wordWrap/>
        <w:topLinePunct w:val="0"/>
        <w:autoSpaceDE/>
        <w:bidi w:val="0"/>
        <w:adjustRightInd/>
        <w:snapToGrid/>
        <w:spacing w:line="560" w:lineRule="exact"/>
        <w:ind w:right="0"/>
        <w:textAlignment w:val="auto"/>
        <w:rPr>
          <w:rFonts w:hint="eastAsia"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w:t>
      </w:r>
    </w:p>
    <w:p w14:paraId="101B9097">
      <w:pPr>
        <w:keepNext w:val="0"/>
        <w:keepLines w:val="0"/>
        <w:pageBreakBefore w:val="0"/>
        <w:tabs>
          <w:tab w:val="center" w:pos="4473"/>
        </w:tabs>
        <w:kinsoku/>
        <w:wordWrap/>
        <w:topLinePunct w:val="0"/>
        <w:autoSpaceDE/>
        <w:bidi w:val="0"/>
        <w:adjustRightInd/>
        <w:snapToGrid/>
        <w:spacing w:line="560" w:lineRule="exact"/>
        <w:ind w:left="0" w:leftChars="0" w:right="0" w:firstLine="560" w:firstLineChars="200"/>
        <w:textAlignment w:val="auto"/>
        <w:rPr>
          <w:rFonts w:hint="eastAsia" w:ascii="仿宋_GB2312" w:eastAsia="仿宋_GB2312"/>
          <w:sz w:val="28"/>
          <w:szCs w:val="28"/>
        </w:rPr>
      </w:pPr>
      <w:r>
        <w:rPr>
          <w:rFonts w:hint="eastAsia" w:ascii="仿宋_GB2312" w:eastAsia="仿宋_GB2312"/>
          <w:sz w:val="28"/>
          <w:szCs w:val="28"/>
        </w:rPr>
        <w:t>你公司在</w:t>
      </w:r>
      <w:r>
        <w:rPr>
          <w:rFonts w:hint="eastAsia" w:ascii="仿宋_GB2312" w:eastAsia="仿宋_GB2312"/>
          <w:sz w:val="28"/>
          <w:szCs w:val="28"/>
          <w:u w:val="single"/>
        </w:rPr>
        <w:t xml:space="preserve">                            </w:t>
      </w:r>
      <w:r>
        <w:rPr>
          <w:rFonts w:hint="eastAsia" w:ascii="仿宋_GB2312" w:eastAsia="仿宋_GB2312"/>
          <w:sz w:val="28"/>
          <w:szCs w:val="28"/>
        </w:rPr>
        <w:t>项目（采购项目编号：</w:t>
      </w:r>
      <w:r>
        <w:rPr>
          <w:rFonts w:hint="eastAsia" w:ascii="仿宋_GB2312" w:eastAsia="仿宋_GB2312"/>
          <w:sz w:val="28"/>
          <w:szCs w:val="28"/>
          <w:u w:val="single"/>
        </w:rPr>
        <w:t xml:space="preserve">                   </w:t>
      </w:r>
      <w:r>
        <w:rPr>
          <w:rFonts w:hint="eastAsia" w:ascii="仿宋_GB2312" w:eastAsia="仿宋_GB2312"/>
          <w:sz w:val="28"/>
          <w:szCs w:val="28"/>
        </w:rPr>
        <w:t>）政府采购代理活动中有违规违法行为。</w:t>
      </w:r>
    </w:p>
    <w:p w14:paraId="6917FF0A">
      <w:pPr>
        <w:keepNext w:val="0"/>
        <w:keepLines w:val="0"/>
        <w:pageBreakBefore w:val="0"/>
        <w:tabs>
          <w:tab w:val="center" w:pos="4473"/>
        </w:tabs>
        <w:kinsoku/>
        <w:wordWrap/>
        <w:topLinePunct w:val="0"/>
        <w:autoSpaceDE/>
        <w:bidi w:val="0"/>
        <w:adjustRightInd/>
        <w:snapToGrid/>
        <w:spacing w:line="560" w:lineRule="exact"/>
        <w:ind w:left="0" w:leftChars="0" w:right="0" w:firstLine="560" w:firstLineChars="200"/>
        <w:textAlignment w:val="auto"/>
        <w:rPr>
          <w:rFonts w:hint="eastAsia" w:ascii="仿宋_GB2312" w:eastAsia="仿宋_GB2312"/>
          <w:sz w:val="28"/>
          <w:szCs w:val="28"/>
        </w:rPr>
      </w:pPr>
      <w:r>
        <w:rPr>
          <w:rFonts w:hint="eastAsia" w:ascii="仿宋_GB2312" w:eastAsia="仿宋_GB2312"/>
          <w:sz w:val="28"/>
          <w:szCs w:val="28"/>
        </w:rPr>
        <w:t xml:space="preserve">违法违规事实： </w:t>
      </w:r>
    </w:p>
    <w:p w14:paraId="6E32815D">
      <w:pPr>
        <w:keepNext w:val="0"/>
        <w:keepLines w:val="0"/>
        <w:pageBreakBefore w:val="0"/>
        <w:tabs>
          <w:tab w:val="center" w:pos="4473"/>
        </w:tabs>
        <w:kinsoku/>
        <w:wordWrap/>
        <w:topLinePunct w:val="0"/>
        <w:autoSpaceDE/>
        <w:bidi w:val="0"/>
        <w:adjustRightInd/>
        <w:snapToGrid/>
        <w:spacing w:line="560" w:lineRule="exact"/>
        <w:ind w:left="0" w:leftChars="0" w:right="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根据《</w:t>
      </w:r>
      <w:r>
        <w:rPr>
          <w:rFonts w:hint="eastAsia" w:ascii="仿宋_GB2312" w:hAnsi="宋体" w:eastAsia="仿宋_GB2312"/>
          <w:sz w:val="28"/>
          <w:szCs w:val="28"/>
          <w:lang w:eastAsia="zh-CN"/>
        </w:rPr>
        <w:t>青海省政府采购代理机构记分规则</w:t>
      </w:r>
      <w:r>
        <w:rPr>
          <w:rFonts w:hint="eastAsia" w:ascii="仿宋_GB2312" w:hAnsi="宋体" w:eastAsia="仿宋_GB2312"/>
          <w:sz w:val="28"/>
          <w:szCs w:val="28"/>
        </w:rPr>
        <w:t>》</w:t>
      </w:r>
      <w:r>
        <w:rPr>
          <w:rFonts w:hint="eastAsia" w:ascii="仿宋_GB2312" w:eastAsia="仿宋_GB2312"/>
          <w:sz w:val="28"/>
          <w:szCs w:val="28"/>
        </w:rPr>
        <w:t>第</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项</w:t>
      </w:r>
      <w:r>
        <w:rPr>
          <w:rFonts w:hint="eastAsia" w:ascii="仿宋_GB2312" w:eastAsia="仿宋_GB2312"/>
          <w:sz w:val="28"/>
          <w:szCs w:val="28"/>
        </w:rPr>
        <w:t>之规定，对你公司</w:t>
      </w:r>
      <w:r>
        <w:rPr>
          <w:rFonts w:hint="eastAsia" w:ascii="仿宋_GB2312" w:eastAsia="仿宋_GB2312"/>
          <w:sz w:val="28"/>
          <w:szCs w:val="28"/>
          <w:lang w:eastAsia="zh-CN"/>
        </w:rPr>
        <w:t>记</w:t>
      </w:r>
      <w:r>
        <w:rPr>
          <w:rFonts w:hint="eastAsia" w:ascii="仿宋_GB2312" w:eastAsia="仿宋_GB2312"/>
          <w:sz w:val="28"/>
          <w:szCs w:val="28"/>
          <w:u w:val="single"/>
        </w:rPr>
        <w:t xml:space="preserve">    </w:t>
      </w:r>
      <w:r>
        <w:rPr>
          <w:rFonts w:hint="eastAsia" w:ascii="仿宋_GB2312" w:eastAsia="仿宋_GB2312"/>
          <w:sz w:val="28"/>
          <w:szCs w:val="28"/>
        </w:rPr>
        <w:t>分</w:t>
      </w:r>
      <w:r>
        <w:rPr>
          <w:rFonts w:hint="eastAsia" w:ascii="仿宋_GB2312" w:hAnsi="宋体" w:eastAsia="仿宋_GB2312"/>
          <w:sz w:val="28"/>
          <w:szCs w:val="28"/>
        </w:rPr>
        <w:t>。</w:t>
      </w:r>
    </w:p>
    <w:p w14:paraId="7F812BEF">
      <w:pPr>
        <w:keepNext w:val="0"/>
        <w:keepLines w:val="0"/>
        <w:pageBreakBefore w:val="0"/>
        <w:tabs>
          <w:tab w:val="center" w:pos="4473"/>
        </w:tabs>
        <w:kinsoku/>
        <w:wordWrap/>
        <w:topLinePunct w:val="0"/>
        <w:autoSpaceDE/>
        <w:bidi w:val="0"/>
        <w:adjustRightInd/>
        <w:snapToGrid/>
        <w:spacing w:line="560" w:lineRule="exact"/>
        <w:ind w:left="0" w:leftChars="0" w:right="0" w:firstLine="560" w:firstLineChars="200"/>
        <w:textAlignment w:val="auto"/>
        <w:rPr>
          <w:rFonts w:hint="eastAsia" w:ascii="仿宋_GB2312" w:eastAsia="仿宋_GB2312"/>
          <w:sz w:val="28"/>
          <w:szCs w:val="28"/>
        </w:rPr>
      </w:pPr>
      <w:r>
        <w:rPr>
          <w:rFonts w:hint="eastAsia" w:ascii="仿宋_GB2312" w:hAnsi="宋体" w:eastAsia="仿宋_GB2312"/>
          <w:sz w:val="28"/>
          <w:szCs w:val="28"/>
        </w:rPr>
        <w:t>特此通知。</w:t>
      </w:r>
    </w:p>
    <w:p w14:paraId="7EA22A67">
      <w:pPr>
        <w:keepNext w:val="0"/>
        <w:keepLines w:val="0"/>
        <w:pageBreakBefore w:val="0"/>
        <w:tabs>
          <w:tab w:val="center" w:pos="4473"/>
        </w:tabs>
        <w:kinsoku/>
        <w:wordWrap/>
        <w:topLinePunct w:val="0"/>
        <w:autoSpaceDE/>
        <w:bidi w:val="0"/>
        <w:adjustRightInd/>
        <w:snapToGrid/>
        <w:spacing w:line="560" w:lineRule="exact"/>
        <w:ind w:left="0" w:leftChars="0" w:right="0" w:firstLine="560" w:firstLineChars="200"/>
        <w:textAlignment w:val="auto"/>
        <w:rPr>
          <w:rFonts w:hint="eastAsia" w:ascii="仿宋_GB2312" w:eastAsia="仿宋_GB2312"/>
          <w:sz w:val="28"/>
          <w:szCs w:val="28"/>
        </w:rPr>
      </w:pPr>
      <w:r>
        <w:rPr>
          <w:rFonts w:hint="eastAsia" w:ascii="仿宋_GB2312" w:eastAsia="仿宋_GB2312"/>
          <w:sz w:val="28"/>
          <w:szCs w:val="28"/>
        </w:rPr>
        <w:t>经办人：</w:t>
      </w:r>
    </w:p>
    <w:p w14:paraId="6D8575C0">
      <w:pPr>
        <w:keepNext w:val="0"/>
        <w:keepLines w:val="0"/>
        <w:pageBreakBefore w:val="0"/>
        <w:tabs>
          <w:tab w:val="center" w:pos="4473"/>
        </w:tabs>
        <w:kinsoku/>
        <w:wordWrap/>
        <w:topLinePunct w:val="0"/>
        <w:autoSpaceDE/>
        <w:bidi w:val="0"/>
        <w:adjustRightInd/>
        <w:snapToGrid/>
        <w:spacing w:line="560" w:lineRule="exact"/>
        <w:ind w:left="0" w:leftChars="0" w:right="0" w:firstLine="560" w:firstLineChars="200"/>
        <w:textAlignment w:val="auto"/>
        <w:rPr>
          <w:rFonts w:hint="eastAsia" w:ascii="仿宋_GB2312" w:eastAsia="仿宋_GB2312"/>
          <w:sz w:val="28"/>
          <w:szCs w:val="28"/>
        </w:rPr>
      </w:pPr>
      <w:r>
        <w:rPr>
          <w:rFonts w:hint="eastAsia" w:ascii="仿宋_GB2312" w:eastAsia="仿宋_GB2312"/>
          <w:sz w:val="28"/>
          <w:szCs w:val="28"/>
        </w:rPr>
        <w:t xml:space="preserve">电  话： </w:t>
      </w:r>
    </w:p>
    <w:p w14:paraId="010F685B">
      <w:pPr>
        <w:keepNext w:val="0"/>
        <w:keepLines w:val="0"/>
        <w:pageBreakBefore w:val="0"/>
        <w:tabs>
          <w:tab w:val="center" w:pos="4473"/>
        </w:tabs>
        <w:kinsoku/>
        <w:wordWrap/>
        <w:topLinePunct w:val="0"/>
        <w:autoSpaceDE/>
        <w:bidi w:val="0"/>
        <w:adjustRightInd/>
        <w:snapToGrid/>
        <w:spacing w:line="560" w:lineRule="exact"/>
        <w:ind w:left="0" w:leftChars="0" w:right="0" w:firstLine="560" w:firstLineChars="200"/>
        <w:jc w:val="right"/>
        <w:textAlignment w:val="auto"/>
        <w:rPr>
          <w:rFonts w:hint="eastAsia" w:ascii="仿宋_GB2312" w:eastAsia="仿宋_GB2312"/>
          <w:sz w:val="28"/>
          <w:szCs w:val="28"/>
        </w:rPr>
      </w:pPr>
      <w:r>
        <w:rPr>
          <w:rFonts w:hint="eastAsia" w:ascii="仿宋_GB2312" w:eastAsia="仿宋_GB2312"/>
          <w:sz w:val="28"/>
          <w:szCs w:val="28"/>
        </w:rPr>
        <w:t>XXX财政（厅）局(盖章)</w:t>
      </w:r>
    </w:p>
    <w:p w14:paraId="6155AD0E">
      <w:pPr>
        <w:keepNext w:val="0"/>
        <w:keepLines w:val="0"/>
        <w:pageBreakBefore w:val="0"/>
        <w:tabs>
          <w:tab w:val="center" w:pos="4473"/>
        </w:tabs>
        <w:kinsoku/>
        <w:wordWrap/>
        <w:topLinePunct w:val="0"/>
        <w:autoSpaceDE/>
        <w:bidi w:val="0"/>
        <w:adjustRightInd/>
        <w:snapToGrid/>
        <w:spacing w:line="560" w:lineRule="exact"/>
        <w:ind w:left="0" w:leftChars="0" w:right="0" w:firstLine="560" w:firstLineChars="200"/>
        <w:jc w:val="right"/>
        <w:textAlignment w:val="auto"/>
        <w:rPr>
          <w:rFonts w:hint="eastAsia" w:ascii="仿宋_GB2312" w:eastAsia="仿宋_GB2312"/>
          <w:sz w:val="28"/>
          <w:szCs w:val="28"/>
        </w:rPr>
      </w:pPr>
      <w:r>
        <w:rPr>
          <w:rFonts w:hint="eastAsia" w:ascii="仿宋_GB2312" w:eastAsia="仿宋_GB2312"/>
          <w:sz w:val="28"/>
          <w:szCs w:val="28"/>
        </w:rPr>
        <w:t>年   月   日</w:t>
      </w:r>
    </w:p>
    <w:p w14:paraId="40202068">
      <w:pPr>
        <w:keepNext w:val="0"/>
        <w:keepLines w:val="0"/>
        <w:pageBreakBefore w:val="0"/>
        <w:kinsoku/>
        <w:wordWrap/>
        <w:topLinePunct w:val="0"/>
        <w:autoSpaceDE/>
        <w:bidi w:val="0"/>
        <w:adjustRightInd/>
        <w:snapToGrid/>
        <w:spacing w:line="560" w:lineRule="exact"/>
        <w:ind w:left="0" w:leftChars="0" w:right="0" w:firstLine="560" w:firstLineChars="200"/>
        <w:textAlignment w:val="auto"/>
        <w:rPr>
          <w:rFonts w:hint="eastAsia" w:ascii="仿宋_GB2312" w:eastAsia="仿宋_GB2312"/>
          <w:sz w:val="28"/>
          <w:szCs w:val="28"/>
        </w:rPr>
      </w:pPr>
      <w:r>
        <w:rPr>
          <w:rFonts w:hint="eastAsia" w:ascii="仿宋_GB2312" w:eastAsia="仿宋_GB2312"/>
          <w:sz w:val="28"/>
          <w:szCs w:val="28"/>
        </w:rPr>
        <w:t xml:space="preserve">————————————————————————————— </w:t>
      </w:r>
    </w:p>
    <w:p w14:paraId="64ED0E43">
      <w:pPr>
        <w:keepNext w:val="0"/>
        <w:keepLines w:val="0"/>
        <w:pageBreakBefore w:val="0"/>
        <w:kinsoku/>
        <w:wordWrap/>
        <w:topLinePunct w:val="0"/>
        <w:autoSpaceDE/>
        <w:bidi w:val="0"/>
        <w:adjustRightInd/>
        <w:snapToGrid/>
        <w:spacing w:line="560" w:lineRule="exact"/>
        <w:ind w:left="0" w:leftChars="0" w:right="0" w:firstLine="880" w:firstLineChars="200"/>
        <w:jc w:val="center"/>
        <w:textAlignment w:val="auto"/>
        <w:rPr>
          <w:rFonts w:hint="eastAsia" w:ascii="华文中宋" w:hAnsi="华文中宋" w:eastAsia="华文中宋"/>
          <w:b w:val="0"/>
          <w:bCs/>
          <w:sz w:val="44"/>
          <w:szCs w:val="44"/>
        </w:rPr>
      </w:pPr>
      <w:r>
        <w:rPr>
          <w:rFonts w:hint="eastAsia" w:ascii="华文中宋" w:hAnsi="华文中宋" w:eastAsia="华文中宋"/>
          <w:b w:val="0"/>
          <w:bCs/>
          <w:sz w:val="44"/>
          <w:szCs w:val="44"/>
        </w:rPr>
        <w:t>送  达  回  执</w:t>
      </w:r>
    </w:p>
    <w:p w14:paraId="0AA04990">
      <w:pPr>
        <w:keepNext w:val="0"/>
        <w:keepLines w:val="0"/>
        <w:pageBreakBefore w:val="0"/>
        <w:kinsoku/>
        <w:wordWrap/>
        <w:topLinePunct w:val="0"/>
        <w:autoSpaceDE/>
        <w:bidi w:val="0"/>
        <w:adjustRightInd/>
        <w:snapToGrid/>
        <w:spacing w:line="560" w:lineRule="exact"/>
        <w:ind w:right="0"/>
        <w:textAlignment w:val="auto"/>
        <w:rPr>
          <w:rFonts w:hint="eastAsia" w:ascii="仿宋_GB2312" w:eastAsia="仿宋_GB2312"/>
          <w:sz w:val="28"/>
          <w:szCs w:val="28"/>
        </w:rPr>
      </w:pPr>
      <w:r>
        <w:rPr>
          <w:rFonts w:hint="eastAsia" w:ascii="仿宋_GB2312" w:eastAsia="仿宋_GB2312"/>
          <w:sz w:val="28"/>
          <w:szCs w:val="28"/>
          <w:u w:val="single"/>
        </w:rPr>
        <w:t xml:space="preserve">                财政（厅）局 </w:t>
      </w:r>
      <w:r>
        <w:rPr>
          <w:rFonts w:hint="eastAsia" w:ascii="仿宋_GB2312" w:eastAsia="仿宋_GB2312"/>
          <w:sz w:val="28"/>
          <w:szCs w:val="28"/>
        </w:rPr>
        <w:t>：</w:t>
      </w:r>
    </w:p>
    <w:p w14:paraId="17E54539">
      <w:pPr>
        <w:keepNext w:val="0"/>
        <w:keepLines w:val="0"/>
        <w:pageBreakBefore w:val="0"/>
        <w:kinsoku/>
        <w:wordWrap/>
        <w:topLinePunct w:val="0"/>
        <w:autoSpaceDE/>
        <w:bidi w:val="0"/>
        <w:adjustRightInd/>
        <w:snapToGrid/>
        <w:spacing w:line="560" w:lineRule="exact"/>
        <w:ind w:left="0" w:leftChars="0" w:right="0"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rPr>
        <w:t>我公司收到青财采</w:t>
      </w:r>
      <w:r>
        <w:rPr>
          <w:rFonts w:hint="eastAsia" w:ascii="仿宋_GB2312" w:eastAsia="仿宋_GB2312"/>
          <w:sz w:val="28"/>
          <w:szCs w:val="28"/>
          <w:lang w:eastAsia="zh-CN"/>
        </w:rPr>
        <w:t>监</w:t>
      </w:r>
      <w:r>
        <w:rPr>
          <w:rFonts w:hint="eastAsia" w:ascii="仿宋_GB2312" w:eastAsia="仿宋_GB2312"/>
          <w:sz w:val="28"/>
          <w:szCs w:val="28"/>
        </w:rPr>
        <w:t>字[20  ]第   号《</w:t>
      </w:r>
      <w:r>
        <w:rPr>
          <w:rFonts w:hint="eastAsia" w:ascii="仿宋_GB2312" w:eastAsia="仿宋_GB2312"/>
          <w:sz w:val="28"/>
          <w:szCs w:val="28"/>
          <w:lang w:eastAsia="zh-CN"/>
        </w:rPr>
        <w:t>政府采购监督处理</w:t>
      </w:r>
      <w:r>
        <w:rPr>
          <w:rFonts w:hint="eastAsia" w:ascii="仿宋_GB2312" w:eastAsia="仿宋_GB2312"/>
          <w:sz w:val="28"/>
          <w:szCs w:val="28"/>
        </w:rPr>
        <w:t>通知书》，</w:t>
      </w:r>
      <w:r>
        <w:rPr>
          <w:rFonts w:hint="eastAsia" w:ascii="仿宋_GB2312" w:eastAsia="仿宋_GB2312"/>
          <w:sz w:val="28"/>
          <w:szCs w:val="28"/>
          <w:lang w:eastAsia="zh-CN"/>
        </w:rPr>
        <w:t>我公司对记分事实无异议。</w:t>
      </w:r>
    </w:p>
    <w:p w14:paraId="2CDFD200">
      <w:pPr>
        <w:keepNext w:val="0"/>
        <w:keepLines w:val="0"/>
        <w:pageBreakBefore w:val="0"/>
        <w:kinsoku/>
        <w:wordWrap/>
        <w:topLinePunct w:val="0"/>
        <w:autoSpaceDE/>
        <w:bidi w:val="0"/>
        <w:adjustRightInd/>
        <w:snapToGrid/>
        <w:spacing w:line="560" w:lineRule="exact"/>
        <w:ind w:left="0" w:leftChars="0" w:right="0" w:firstLine="560" w:firstLineChars="200"/>
        <w:jc w:val="right"/>
        <w:textAlignment w:val="auto"/>
        <w:rPr>
          <w:rFonts w:hint="eastAsia" w:ascii="仿宋_GB2312" w:eastAsia="仿宋_GB2312"/>
          <w:sz w:val="28"/>
          <w:szCs w:val="28"/>
        </w:rPr>
      </w:pPr>
      <w:r>
        <w:rPr>
          <w:rFonts w:hint="eastAsia" w:ascii="仿宋_GB2312" w:eastAsia="仿宋_GB2312"/>
          <w:sz w:val="28"/>
          <w:szCs w:val="28"/>
        </w:rPr>
        <w:t>签收人：</w:t>
      </w:r>
    </w:p>
    <w:p w14:paraId="57946580">
      <w:pPr>
        <w:keepNext w:val="0"/>
        <w:keepLines w:val="0"/>
        <w:pageBreakBefore w:val="0"/>
        <w:kinsoku/>
        <w:wordWrap/>
        <w:topLinePunct w:val="0"/>
        <w:autoSpaceDE/>
        <w:bidi w:val="0"/>
        <w:adjustRightInd/>
        <w:snapToGrid/>
        <w:spacing w:line="560" w:lineRule="exact"/>
        <w:ind w:left="0" w:leftChars="0" w:right="0" w:firstLine="560" w:firstLineChars="200"/>
        <w:jc w:val="right"/>
        <w:textAlignment w:val="auto"/>
        <w:rPr>
          <w:rFonts w:hint="eastAsia" w:ascii="仿宋_GB2312" w:eastAsia="仿宋_GB2312"/>
          <w:sz w:val="28"/>
          <w:szCs w:val="28"/>
        </w:rPr>
      </w:pPr>
      <w:r>
        <w:rPr>
          <w:rFonts w:hint="eastAsia" w:ascii="仿宋_GB2312" w:eastAsia="仿宋_GB2312"/>
          <w:sz w:val="28"/>
          <w:szCs w:val="28"/>
        </w:rPr>
        <w:t>代理机构（盖章）</w:t>
      </w:r>
    </w:p>
    <w:p w14:paraId="5AD7B6A7">
      <w:pPr>
        <w:keepNext w:val="0"/>
        <w:keepLines w:val="0"/>
        <w:pageBreakBefore w:val="0"/>
        <w:kinsoku/>
        <w:wordWrap/>
        <w:topLinePunct w:val="0"/>
        <w:autoSpaceDE/>
        <w:bidi w:val="0"/>
        <w:adjustRightInd/>
        <w:snapToGrid/>
        <w:spacing w:line="560" w:lineRule="exact"/>
        <w:ind w:left="0" w:leftChars="0" w:right="0" w:firstLine="560" w:firstLineChars="200"/>
        <w:jc w:val="right"/>
        <w:textAlignment w:val="auto"/>
        <w:rPr>
          <w:rFonts w:hint="eastAsia" w:ascii="仿宋_GB2312" w:eastAsia="仿宋_GB2312"/>
          <w:sz w:val="28"/>
          <w:szCs w:val="28"/>
        </w:rPr>
      </w:pPr>
      <w:r>
        <w:rPr>
          <w:rFonts w:hint="eastAsia" w:ascii="仿宋_GB2312" w:eastAsia="仿宋_GB2312"/>
          <w:sz w:val="28"/>
          <w:szCs w:val="28"/>
        </w:rPr>
        <w:t>年   月   日</w:t>
      </w:r>
    </w:p>
    <w:p w14:paraId="6C210FF6">
      <w:pPr>
        <w:keepNext w:val="0"/>
        <w:keepLines w:val="0"/>
        <w:pageBreakBefore w:val="0"/>
        <w:kinsoku/>
        <w:wordWrap/>
        <w:topLinePunct w:val="0"/>
        <w:autoSpaceDE/>
        <w:bidi w:val="0"/>
        <w:adjustRightInd/>
        <w:spacing w:line="560" w:lineRule="exact"/>
        <w:ind w:left="0" w:leftChars="0" w:right="0" w:firstLine="620" w:firstLineChars="200"/>
        <w:textAlignment w:val="auto"/>
        <w:rPr>
          <w:rFonts w:ascii="仿宋_GB2312" w:hAnsi="仿宋_GB2312" w:eastAsia="仿宋_GB2312" w:cs="仿宋_GB2312"/>
          <w:sz w:val="31"/>
        </w:rPr>
      </w:pPr>
    </w:p>
    <w:p w14:paraId="133A451E">
      <w:pPr>
        <w:keepNext w:val="0"/>
        <w:keepLines w:val="0"/>
        <w:pageBreakBefore w:val="0"/>
        <w:tabs>
          <w:tab w:val="center" w:pos="4473"/>
        </w:tabs>
        <w:kinsoku/>
        <w:wordWrap/>
        <w:topLinePunct w:val="0"/>
        <w:autoSpaceDE/>
        <w:bidi w:val="0"/>
        <w:adjustRightInd/>
        <w:snapToGrid/>
        <w:spacing w:line="560" w:lineRule="exact"/>
        <w:ind w:right="0"/>
        <w:jc w:val="both"/>
        <w:textAlignment w:val="auto"/>
        <w:rPr>
          <w:rFonts w:hint="eastAsia" w:ascii="华文中宋" w:hAnsi="华文中宋" w:eastAsia="华文中宋"/>
          <w:b w:val="0"/>
          <w:bCs/>
          <w:sz w:val="44"/>
          <w:szCs w:val="44"/>
        </w:rPr>
      </w:pPr>
      <w:r>
        <w:rPr>
          <w:rFonts w:hint="eastAsia" w:ascii="黑体" w:hAnsi="黑体" w:eastAsia="黑体" w:cs="仿宋_GB2312"/>
          <w:sz w:val="32"/>
          <w:szCs w:val="32"/>
        </w:rPr>
        <w:t>附件</w:t>
      </w:r>
      <w:r>
        <w:rPr>
          <w:rFonts w:hint="eastAsia" w:ascii="黑体" w:hAnsi="黑体" w:eastAsia="黑体" w:cs="仿宋_GB2312"/>
          <w:sz w:val="32"/>
          <w:szCs w:val="32"/>
          <w:lang w:val="en-US" w:eastAsia="zh-CN"/>
        </w:rPr>
        <w:t>4</w:t>
      </w:r>
    </w:p>
    <w:p w14:paraId="06E10571">
      <w:pPr>
        <w:keepNext w:val="0"/>
        <w:keepLines w:val="0"/>
        <w:pageBreakBefore w:val="0"/>
        <w:widowControl/>
        <w:kinsoku/>
        <w:wordWrap/>
        <w:topLinePunct w:val="0"/>
        <w:autoSpaceDE/>
        <w:bidi w:val="0"/>
        <w:adjustRightInd/>
        <w:spacing w:line="560" w:lineRule="exact"/>
        <w:ind w:left="0" w:leftChars="0" w:right="0" w:firstLine="1760" w:firstLineChars="400"/>
        <w:jc w:val="left"/>
        <w:textAlignment w:val="auto"/>
        <w:rPr>
          <w:rFonts w:hint="eastAsia" w:ascii="华文中宋" w:hAnsi="华文中宋" w:eastAsia="华文中宋"/>
          <w:b w:val="0"/>
          <w:bCs/>
          <w:sz w:val="44"/>
          <w:szCs w:val="44"/>
        </w:rPr>
      </w:pPr>
      <w:r>
        <w:rPr>
          <w:rFonts w:hint="eastAsia" w:ascii="华文中宋" w:hAnsi="华文中宋" w:eastAsia="华文中宋"/>
          <w:b w:val="0"/>
          <w:bCs/>
          <w:sz w:val="44"/>
          <w:szCs w:val="44"/>
        </w:rPr>
        <w:t>政府采购代理机构整改通知书</w:t>
      </w:r>
    </w:p>
    <w:p w14:paraId="7182FBAB">
      <w:pPr>
        <w:keepNext w:val="0"/>
        <w:keepLines w:val="0"/>
        <w:pageBreakBefore w:val="0"/>
        <w:kinsoku/>
        <w:wordWrap/>
        <w:topLinePunct w:val="0"/>
        <w:autoSpaceDE/>
        <w:bidi w:val="0"/>
        <w:adjustRightInd/>
        <w:snapToGrid/>
        <w:spacing w:line="560" w:lineRule="exact"/>
        <w:ind w:left="0" w:leftChars="0" w:right="0" w:firstLine="560" w:firstLineChars="200"/>
        <w:jc w:val="center"/>
        <w:textAlignment w:val="auto"/>
        <w:rPr>
          <w:rFonts w:hint="eastAsia" w:ascii="仿宋_GB2312" w:hAnsi="仿宋_GB2312" w:eastAsia="仿宋_GB2312" w:cs="仿宋_GB2312"/>
          <w:sz w:val="31"/>
        </w:rPr>
      </w:pPr>
      <w:r>
        <w:rPr>
          <w:rFonts w:hint="eastAsia" w:ascii="仿宋_GB2312" w:eastAsia="仿宋_GB2312"/>
          <w:sz w:val="28"/>
          <w:szCs w:val="28"/>
        </w:rPr>
        <w:t>青（市、州、县）财采</w:t>
      </w:r>
      <w:r>
        <w:rPr>
          <w:rFonts w:hint="eastAsia" w:ascii="仿宋_GB2312" w:eastAsia="仿宋_GB2312"/>
          <w:sz w:val="28"/>
          <w:szCs w:val="28"/>
          <w:lang w:eastAsia="zh-CN"/>
        </w:rPr>
        <w:t>整</w:t>
      </w:r>
      <w:r>
        <w:rPr>
          <w:rFonts w:hint="eastAsia" w:ascii="仿宋_GB2312" w:eastAsia="仿宋_GB2312"/>
          <w:sz w:val="28"/>
          <w:szCs w:val="28"/>
        </w:rPr>
        <w:t>字〔20   〕第  号</w:t>
      </w:r>
    </w:p>
    <w:p w14:paraId="52181747">
      <w:pPr>
        <w:keepNext w:val="0"/>
        <w:keepLines w:val="0"/>
        <w:pageBreakBefore w:val="0"/>
        <w:kinsoku/>
        <w:wordWrap/>
        <w:topLinePunct w:val="0"/>
        <w:autoSpaceDE/>
        <w:bidi w:val="0"/>
        <w:adjustRightInd/>
        <w:snapToGrid/>
        <w:spacing w:line="560" w:lineRule="exact"/>
        <w:ind w:right="0"/>
        <w:textAlignment w:val="auto"/>
        <w:rPr>
          <w:rFonts w:hint="eastAsia" w:ascii="仿宋_GB2312" w:hAnsi="仿宋_GB2312" w:eastAsia="仿宋_GB2312" w:cs="仿宋_GB2312"/>
          <w:sz w:val="32"/>
          <w:szCs w:val="32"/>
        </w:rPr>
      </w:pPr>
      <w:r>
        <w:rPr>
          <w:rFonts w:hint="eastAsia" w:ascii="仿宋_GB2312" w:eastAsia="仿宋_GB2312"/>
          <w:sz w:val="28"/>
          <w:szCs w:val="28"/>
          <w:u w:val="single"/>
        </w:rPr>
        <w:t xml:space="preserve">              </w:t>
      </w:r>
      <w:r>
        <w:rPr>
          <w:rFonts w:hint="eastAsia" w:ascii="仿宋_GB2312" w:eastAsia="仿宋_GB2312"/>
          <w:sz w:val="28"/>
          <w:szCs w:val="28"/>
        </w:rPr>
        <w:t>：</w:t>
      </w:r>
    </w:p>
    <w:p w14:paraId="6F3D441C">
      <w:pPr>
        <w:keepNext w:val="0"/>
        <w:keepLines w:val="0"/>
        <w:pageBreakBefore w:val="0"/>
        <w:kinsoku/>
        <w:wordWrap/>
        <w:topLinePunct w:val="0"/>
        <w:autoSpaceDE/>
        <w:bidi w:val="0"/>
        <w:adjustRightIn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你公司在  年  月  日至   年  月  日的记分</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中，累计</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rPr>
        <w:t>记   分，记分值</w:t>
      </w:r>
      <w:r>
        <w:rPr>
          <w:rFonts w:hint="eastAsia" w:ascii="仿宋_GB2312" w:hAnsi="仿宋_GB2312" w:eastAsia="仿宋_GB2312" w:cs="仿宋_GB2312"/>
          <w:sz w:val="32"/>
          <w:szCs w:val="32"/>
          <w:lang w:eastAsia="zh-CN"/>
        </w:rPr>
        <w:t>不足</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分。根据《青海省政府采购代理机构管理办法》的规定，要求你公司进行整改。整改时间共</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天（自  年   月  日至  年   月   日）。</w:t>
      </w:r>
    </w:p>
    <w:p w14:paraId="45502666">
      <w:pPr>
        <w:keepNext w:val="0"/>
        <w:keepLines w:val="0"/>
        <w:pageBreakBefore w:val="0"/>
        <w:kinsoku/>
        <w:wordWrap/>
        <w:topLinePunct w:val="0"/>
        <w:autoSpaceDE/>
        <w:bidi w:val="0"/>
        <w:adjustRightIn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特此通知。</w:t>
      </w:r>
    </w:p>
    <w:p w14:paraId="5ABC5E70">
      <w:pPr>
        <w:keepNext w:val="0"/>
        <w:keepLines w:val="0"/>
        <w:pageBreakBefore w:val="0"/>
        <w:kinsoku/>
        <w:wordWrap/>
        <w:topLinePunct w:val="0"/>
        <w:autoSpaceDE/>
        <w:bidi w:val="0"/>
        <w:adjustRightInd/>
        <w:spacing w:line="560" w:lineRule="exact"/>
        <w:ind w:left="0" w:leftChars="0" w:right="0" w:firstLine="620" w:firstLineChars="200"/>
        <w:textAlignment w:val="auto"/>
        <w:rPr>
          <w:rFonts w:hint="eastAsia" w:ascii="仿宋_GB2312" w:hAnsi="仿宋_GB2312" w:eastAsia="仿宋_GB2312" w:cs="仿宋_GB2312"/>
          <w:sz w:val="31"/>
        </w:rPr>
      </w:pPr>
    </w:p>
    <w:p w14:paraId="2A2D7F31">
      <w:pPr>
        <w:keepNext w:val="0"/>
        <w:keepLines w:val="0"/>
        <w:pageBreakBefore w:val="0"/>
        <w:kinsoku/>
        <w:wordWrap/>
        <w:topLinePunct w:val="0"/>
        <w:autoSpaceDE/>
        <w:bidi w:val="0"/>
        <w:adjustRightInd/>
        <w:spacing w:line="560" w:lineRule="exact"/>
        <w:ind w:left="0" w:leftChars="0" w:right="0" w:firstLine="620" w:firstLineChars="200"/>
        <w:textAlignment w:val="auto"/>
        <w:rPr>
          <w:rFonts w:hint="eastAsia" w:ascii="仿宋_GB2312" w:hAnsi="仿宋_GB2312" w:eastAsia="仿宋_GB2312" w:cs="仿宋_GB2312"/>
          <w:sz w:val="31"/>
        </w:rPr>
      </w:pPr>
    </w:p>
    <w:p w14:paraId="32D704FD">
      <w:pPr>
        <w:keepNext w:val="0"/>
        <w:keepLines w:val="0"/>
        <w:pageBreakBefore w:val="0"/>
        <w:kinsoku/>
        <w:wordWrap/>
        <w:topLinePunct w:val="0"/>
        <w:autoSpaceDE/>
        <w:bidi w:val="0"/>
        <w:adjustRightInd/>
        <w:spacing w:line="560" w:lineRule="exact"/>
        <w:ind w:left="0" w:leftChars="0" w:right="0" w:firstLine="620" w:firstLineChars="200"/>
        <w:textAlignment w:val="auto"/>
        <w:rPr>
          <w:rFonts w:hint="eastAsia" w:ascii="仿宋_GB2312" w:hAnsi="仿宋_GB2312" w:eastAsia="仿宋_GB2312" w:cs="仿宋_GB2312"/>
          <w:sz w:val="31"/>
        </w:rPr>
      </w:pPr>
      <w:r>
        <w:rPr>
          <w:rFonts w:hint="eastAsia" w:ascii="仿宋_GB2312" w:hAnsi="仿宋_GB2312" w:eastAsia="仿宋_GB2312" w:cs="仿宋_GB2312"/>
          <w:sz w:val="31"/>
        </w:rPr>
        <w:t>财政部门（盖章）</w:t>
      </w:r>
    </w:p>
    <w:p w14:paraId="20080FC0">
      <w:pPr>
        <w:keepNext w:val="0"/>
        <w:keepLines w:val="0"/>
        <w:pageBreakBefore w:val="0"/>
        <w:kinsoku/>
        <w:wordWrap/>
        <w:topLinePunct w:val="0"/>
        <w:autoSpaceDE/>
        <w:bidi w:val="0"/>
        <w:adjustRightInd/>
        <w:spacing w:line="560" w:lineRule="exact"/>
        <w:ind w:left="0" w:leftChars="0" w:right="0" w:firstLine="620" w:firstLineChars="200"/>
        <w:textAlignment w:val="auto"/>
        <w:rPr>
          <w:rFonts w:hint="eastAsia" w:ascii="仿宋_GB2312" w:hAnsi="仿宋_GB2312" w:eastAsia="仿宋_GB2312" w:cs="仿宋_GB2312"/>
          <w:sz w:val="31"/>
        </w:rPr>
      </w:pPr>
      <w:r>
        <w:rPr>
          <w:rFonts w:hint="eastAsia" w:ascii="仿宋_GB2312" w:hAnsi="仿宋_GB2312" w:eastAsia="仿宋_GB2312" w:cs="仿宋_GB2312"/>
          <w:sz w:val="31"/>
        </w:rPr>
        <w:t xml:space="preserve">                                 年  月  日</w:t>
      </w:r>
    </w:p>
    <w:p w14:paraId="31BF05CC">
      <w:pPr>
        <w:keepNext w:val="0"/>
        <w:keepLines w:val="0"/>
        <w:pageBreakBefore w:val="0"/>
        <w:kinsoku/>
        <w:wordWrap/>
        <w:topLinePunct w:val="0"/>
        <w:autoSpaceDE/>
        <w:bidi w:val="0"/>
        <w:adjustRightInd/>
        <w:snapToGrid/>
        <w:spacing w:line="560" w:lineRule="exact"/>
        <w:ind w:left="0" w:leftChars="0" w:right="0" w:firstLine="560" w:firstLineChars="200"/>
        <w:textAlignment w:val="auto"/>
        <w:rPr>
          <w:rFonts w:hint="eastAsia" w:ascii="仿宋_GB2312" w:hAnsi="仿宋_GB2312" w:eastAsia="仿宋_GB2312" w:cs="仿宋_GB2312"/>
          <w:sz w:val="31"/>
        </w:rPr>
      </w:pPr>
      <w:r>
        <w:rPr>
          <w:rFonts w:hint="eastAsia" w:ascii="仿宋_GB2312" w:eastAsia="仿宋_GB2312"/>
          <w:sz w:val="28"/>
          <w:szCs w:val="28"/>
        </w:rPr>
        <w:t xml:space="preserve">————————————————————————————— </w:t>
      </w:r>
    </w:p>
    <w:p w14:paraId="39BD481E">
      <w:pPr>
        <w:keepNext w:val="0"/>
        <w:keepLines w:val="0"/>
        <w:pageBreakBefore w:val="0"/>
        <w:kinsoku/>
        <w:wordWrap/>
        <w:topLinePunct w:val="0"/>
        <w:autoSpaceDE/>
        <w:bidi w:val="0"/>
        <w:adjustRightInd/>
        <w:snapToGrid/>
        <w:spacing w:line="560" w:lineRule="exact"/>
        <w:ind w:left="0" w:leftChars="0" w:right="0" w:firstLine="880" w:firstLineChars="200"/>
        <w:jc w:val="center"/>
        <w:textAlignment w:val="auto"/>
        <w:rPr>
          <w:rFonts w:hint="eastAsia" w:ascii="华文中宋" w:hAnsi="华文中宋" w:eastAsia="华文中宋"/>
          <w:b w:val="0"/>
          <w:bCs/>
          <w:sz w:val="44"/>
          <w:szCs w:val="44"/>
        </w:rPr>
      </w:pPr>
      <w:r>
        <w:rPr>
          <w:rFonts w:hint="eastAsia" w:ascii="华文中宋" w:hAnsi="华文中宋" w:eastAsia="华文中宋"/>
          <w:b w:val="0"/>
          <w:bCs/>
          <w:sz w:val="44"/>
          <w:szCs w:val="44"/>
        </w:rPr>
        <w:t>送  达  回  执</w:t>
      </w:r>
    </w:p>
    <w:p w14:paraId="3086E3E0">
      <w:pPr>
        <w:keepNext w:val="0"/>
        <w:keepLines w:val="0"/>
        <w:pageBreakBefore w:val="0"/>
        <w:kinsoku/>
        <w:wordWrap/>
        <w:topLinePunct w:val="0"/>
        <w:autoSpaceDE/>
        <w:bidi w:val="0"/>
        <w:adjustRightInd/>
        <w:snapToGrid/>
        <w:spacing w:line="560" w:lineRule="exact"/>
        <w:ind w:right="0"/>
        <w:textAlignment w:val="auto"/>
        <w:rPr>
          <w:rFonts w:hint="eastAsia" w:ascii="仿宋_GB2312" w:eastAsia="仿宋_GB2312"/>
          <w:sz w:val="28"/>
          <w:szCs w:val="28"/>
        </w:rPr>
      </w:pPr>
      <w:r>
        <w:rPr>
          <w:rFonts w:hint="eastAsia" w:ascii="仿宋_GB2312" w:eastAsia="仿宋_GB2312"/>
          <w:sz w:val="28"/>
          <w:szCs w:val="28"/>
          <w:u w:val="single"/>
        </w:rPr>
        <w:t xml:space="preserve">               财政（厅）局 </w:t>
      </w:r>
      <w:r>
        <w:rPr>
          <w:rFonts w:hint="eastAsia" w:ascii="仿宋_GB2312" w:eastAsia="仿宋_GB2312"/>
          <w:sz w:val="28"/>
          <w:szCs w:val="28"/>
        </w:rPr>
        <w:t>：</w:t>
      </w:r>
    </w:p>
    <w:p w14:paraId="06305B9C">
      <w:pPr>
        <w:keepNext w:val="0"/>
        <w:keepLines w:val="0"/>
        <w:pageBreakBefore w:val="0"/>
        <w:kinsoku/>
        <w:wordWrap/>
        <w:topLinePunct w:val="0"/>
        <w:autoSpaceDE/>
        <w:bidi w:val="0"/>
        <w:adjustRightInd/>
        <w:snapToGrid/>
        <w:spacing w:line="560" w:lineRule="exact"/>
        <w:ind w:left="0" w:leftChars="0" w:right="0" w:firstLine="560" w:firstLineChars="200"/>
        <w:textAlignment w:val="auto"/>
        <w:rPr>
          <w:rFonts w:hint="eastAsia" w:ascii="仿宋_GB2312" w:eastAsia="仿宋_GB2312"/>
          <w:sz w:val="28"/>
          <w:szCs w:val="28"/>
        </w:rPr>
      </w:pPr>
      <w:r>
        <w:rPr>
          <w:rFonts w:hint="eastAsia" w:ascii="仿宋_GB2312" w:eastAsia="仿宋_GB2312"/>
          <w:sz w:val="28"/>
          <w:szCs w:val="28"/>
        </w:rPr>
        <w:t>我公司收到青财采</w:t>
      </w:r>
      <w:r>
        <w:rPr>
          <w:rFonts w:hint="eastAsia" w:ascii="仿宋_GB2312" w:eastAsia="仿宋_GB2312"/>
          <w:sz w:val="28"/>
          <w:szCs w:val="28"/>
          <w:lang w:eastAsia="zh-CN"/>
        </w:rPr>
        <w:t>整</w:t>
      </w:r>
      <w:r>
        <w:rPr>
          <w:rFonts w:hint="eastAsia" w:ascii="仿宋_GB2312" w:eastAsia="仿宋_GB2312"/>
          <w:sz w:val="28"/>
          <w:szCs w:val="28"/>
        </w:rPr>
        <w:t>字[20  ]第    号《</w:t>
      </w:r>
      <w:r>
        <w:rPr>
          <w:rFonts w:hint="eastAsia" w:ascii="仿宋_GB2312" w:eastAsia="仿宋_GB2312"/>
          <w:sz w:val="28"/>
          <w:szCs w:val="28"/>
          <w:lang w:eastAsia="zh-CN"/>
        </w:rPr>
        <w:t>整改</w:t>
      </w:r>
      <w:r>
        <w:rPr>
          <w:rFonts w:hint="eastAsia" w:ascii="仿宋_GB2312" w:eastAsia="仿宋_GB2312"/>
          <w:sz w:val="28"/>
          <w:szCs w:val="28"/>
        </w:rPr>
        <w:t>通知书》，</w:t>
      </w:r>
      <w:r>
        <w:rPr>
          <w:rFonts w:hint="eastAsia" w:ascii="仿宋_GB2312" w:eastAsia="仿宋_GB2312"/>
          <w:sz w:val="28"/>
          <w:szCs w:val="28"/>
          <w:lang w:eastAsia="zh-CN"/>
        </w:rPr>
        <w:t>我公司对此无异议。</w:t>
      </w:r>
    </w:p>
    <w:p w14:paraId="4BF64E9A">
      <w:pPr>
        <w:keepNext w:val="0"/>
        <w:keepLines w:val="0"/>
        <w:pageBreakBefore w:val="0"/>
        <w:kinsoku/>
        <w:wordWrap/>
        <w:topLinePunct w:val="0"/>
        <w:autoSpaceDE/>
        <w:bidi w:val="0"/>
        <w:adjustRightInd/>
        <w:snapToGrid/>
        <w:spacing w:line="560" w:lineRule="exact"/>
        <w:ind w:left="0" w:leftChars="0" w:right="0" w:firstLine="560" w:firstLineChars="200"/>
        <w:jc w:val="right"/>
        <w:textAlignment w:val="auto"/>
        <w:rPr>
          <w:rFonts w:hint="eastAsia" w:ascii="仿宋_GB2312" w:eastAsia="仿宋_GB2312"/>
          <w:sz w:val="28"/>
          <w:szCs w:val="28"/>
        </w:rPr>
      </w:pPr>
      <w:r>
        <w:rPr>
          <w:rFonts w:hint="eastAsia" w:ascii="仿宋_GB2312" w:eastAsia="仿宋_GB2312"/>
          <w:sz w:val="28"/>
          <w:szCs w:val="28"/>
        </w:rPr>
        <w:t>签收人：</w:t>
      </w:r>
    </w:p>
    <w:p w14:paraId="785B5C6F">
      <w:pPr>
        <w:keepNext w:val="0"/>
        <w:keepLines w:val="0"/>
        <w:pageBreakBefore w:val="0"/>
        <w:kinsoku/>
        <w:wordWrap/>
        <w:topLinePunct w:val="0"/>
        <w:autoSpaceDE/>
        <w:bidi w:val="0"/>
        <w:adjustRightInd/>
        <w:snapToGrid/>
        <w:spacing w:line="560" w:lineRule="exact"/>
        <w:ind w:left="0" w:leftChars="0" w:right="0" w:firstLine="560" w:firstLineChars="200"/>
        <w:jc w:val="right"/>
        <w:textAlignment w:val="auto"/>
        <w:rPr>
          <w:rFonts w:hint="eastAsia" w:ascii="仿宋_GB2312" w:eastAsia="仿宋_GB2312"/>
          <w:sz w:val="28"/>
          <w:szCs w:val="28"/>
        </w:rPr>
      </w:pPr>
      <w:r>
        <w:rPr>
          <w:rFonts w:hint="eastAsia" w:ascii="仿宋_GB2312" w:eastAsia="仿宋_GB2312"/>
          <w:sz w:val="28"/>
          <w:szCs w:val="28"/>
        </w:rPr>
        <w:t>代理机构（盖章）</w:t>
      </w:r>
    </w:p>
    <w:p w14:paraId="68DA88C1">
      <w:pPr>
        <w:keepNext w:val="0"/>
        <w:keepLines w:val="0"/>
        <w:pageBreakBefore w:val="0"/>
        <w:kinsoku/>
        <w:wordWrap/>
        <w:topLinePunct w:val="0"/>
        <w:autoSpaceDE/>
        <w:bidi w:val="0"/>
        <w:adjustRightInd/>
        <w:snapToGrid/>
        <w:spacing w:line="560" w:lineRule="exact"/>
        <w:ind w:left="0" w:leftChars="0" w:right="0" w:firstLine="560" w:firstLineChars="200"/>
        <w:jc w:val="right"/>
        <w:textAlignment w:val="auto"/>
        <w:rPr>
          <w:rFonts w:hint="eastAsia" w:ascii="仿宋_GB2312" w:eastAsia="仿宋_GB2312"/>
          <w:sz w:val="28"/>
          <w:szCs w:val="28"/>
        </w:rPr>
      </w:pPr>
      <w:r>
        <w:rPr>
          <w:rFonts w:hint="eastAsia" w:ascii="仿宋_GB2312" w:eastAsia="仿宋_GB2312"/>
          <w:sz w:val="28"/>
          <w:szCs w:val="28"/>
        </w:rPr>
        <w:t>年   月   日</w:t>
      </w:r>
    </w:p>
    <w:p w14:paraId="21A1C736">
      <w:pPr>
        <w:keepNext w:val="0"/>
        <w:keepLines w:val="0"/>
        <w:pageBreakBefore w:val="0"/>
        <w:kinsoku/>
        <w:wordWrap/>
        <w:topLinePunct w:val="0"/>
        <w:autoSpaceDE/>
        <w:bidi w:val="0"/>
        <w:adjustRightInd/>
        <w:snapToGrid/>
        <w:spacing w:line="560" w:lineRule="exact"/>
        <w:ind w:left="0" w:leftChars="0" w:right="0" w:firstLine="560" w:firstLineChars="200"/>
        <w:textAlignment w:val="auto"/>
        <w:rPr>
          <w:rFonts w:hint="eastAsia" w:ascii="仿宋_GB2312" w:eastAsia="仿宋_GB2312"/>
          <w:sz w:val="28"/>
          <w:szCs w:val="28"/>
        </w:rPr>
      </w:pPr>
      <w:r>
        <w:rPr>
          <w:rFonts w:hint="eastAsia" w:ascii="仿宋_GB2312" w:eastAsia="仿宋_GB2312"/>
          <w:sz w:val="28"/>
          <w:szCs w:val="28"/>
        </w:rPr>
        <w:t>注：本文书一式两份，一份送达，一份归档。</w:t>
      </w:r>
    </w:p>
    <w:p w14:paraId="2C3EC32A">
      <w:pPr>
        <w:keepNext w:val="0"/>
        <w:keepLines w:val="0"/>
        <w:pageBreakBefore w:val="0"/>
        <w:tabs>
          <w:tab w:val="center" w:pos="4473"/>
        </w:tabs>
        <w:kinsoku/>
        <w:wordWrap/>
        <w:topLinePunct w:val="0"/>
        <w:autoSpaceDE/>
        <w:bidi w:val="0"/>
        <w:adjustRightInd/>
        <w:snapToGrid/>
        <w:spacing w:line="560" w:lineRule="exact"/>
        <w:ind w:left="0" w:leftChars="0" w:right="0" w:firstLine="640" w:firstLineChars="200"/>
        <w:textAlignment w:val="auto"/>
        <w:rPr>
          <w:rFonts w:hint="eastAsia" w:ascii="黑体" w:hAnsi="黑体" w:eastAsia="黑体"/>
          <w:sz w:val="32"/>
          <w:szCs w:val="32"/>
        </w:rPr>
      </w:pPr>
    </w:p>
    <w:p w14:paraId="63C01915">
      <w:pPr>
        <w:keepNext w:val="0"/>
        <w:keepLines w:val="0"/>
        <w:pageBreakBefore w:val="0"/>
        <w:tabs>
          <w:tab w:val="center" w:pos="4473"/>
        </w:tabs>
        <w:kinsoku/>
        <w:wordWrap/>
        <w:topLinePunct w:val="0"/>
        <w:autoSpaceDE/>
        <w:bidi w:val="0"/>
        <w:adjustRightInd/>
        <w:snapToGrid/>
        <w:spacing w:line="560" w:lineRule="exact"/>
        <w:ind w:right="0"/>
        <w:textAlignment w:val="auto"/>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5</w:t>
      </w:r>
    </w:p>
    <w:p w14:paraId="24B04BA9">
      <w:pPr>
        <w:keepNext w:val="0"/>
        <w:keepLines w:val="0"/>
        <w:pageBreakBefore w:val="0"/>
        <w:tabs>
          <w:tab w:val="center" w:pos="4473"/>
        </w:tabs>
        <w:kinsoku/>
        <w:wordWrap/>
        <w:topLinePunct w:val="0"/>
        <w:autoSpaceDE/>
        <w:bidi w:val="0"/>
        <w:adjustRightInd/>
        <w:snapToGrid/>
        <w:spacing w:line="560" w:lineRule="exact"/>
        <w:ind w:left="0" w:leftChars="0" w:right="0" w:firstLine="880" w:firstLineChars="200"/>
        <w:textAlignment w:val="auto"/>
        <w:rPr>
          <w:rFonts w:hint="eastAsia" w:ascii="黑体" w:hAnsi="黑体" w:eastAsia="黑体"/>
          <w:b w:val="0"/>
          <w:bCs w:val="0"/>
          <w:sz w:val="44"/>
          <w:szCs w:val="44"/>
        </w:rPr>
      </w:pPr>
    </w:p>
    <w:p w14:paraId="59161496">
      <w:pPr>
        <w:keepNext w:val="0"/>
        <w:keepLines w:val="0"/>
        <w:pageBreakBefore w:val="0"/>
        <w:kinsoku/>
        <w:wordWrap/>
        <w:topLinePunct w:val="0"/>
        <w:autoSpaceDE/>
        <w:bidi w:val="0"/>
        <w:adjustRightInd/>
        <w:snapToGrid/>
        <w:spacing w:line="560" w:lineRule="exact"/>
        <w:ind w:left="0" w:leftChars="0" w:right="0" w:firstLine="880" w:firstLineChars="200"/>
        <w:jc w:val="center"/>
        <w:textAlignment w:val="auto"/>
        <w:rPr>
          <w:rFonts w:hint="eastAsia" w:ascii="华文中宋" w:hAnsi="华文中宋" w:eastAsia="华文中宋"/>
          <w:b w:val="0"/>
          <w:bCs w:val="0"/>
          <w:sz w:val="44"/>
          <w:szCs w:val="44"/>
        </w:rPr>
      </w:pPr>
      <w:r>
        <w:rPr>
          <w:rFonts w:hint="eastAsia" w:ascii="华文中宋" w:hAnsi="华文中宋" w:eastAsia="华文中宋"/>
          <w:b w:val="0"/>
          <w:bCs w:val="0"/>
          <w:sz w:val="44"/>
          <w:szCs w:val="44"/>
        </w:rPr>
        <w:t>政府采购代理机构整改验收表</w:t>
      </w:r>
    </w:p>
    <w:tbl>
      <w:tblPr>
        <w:tblStyle w:val="3"/>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692"/>
        <w:gridCol w:w="3168"/>
        <w:gridCol w:w="1440"/>
        <w:gridCol w:w="1800"/>
      </w:tblGrid>
      <w:tr w14:paraId="1973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14:paraId="71698311">
            <w:pPr>
              <w:keepNext w:val="0"/>
              <w:keepLines w:val="0"/>
              <w:pageBreakBefore w:val="0"/>
              <w:kinsoku/>
              <w:wordWrap/>
              <w:topLinePunct w:val="0"/>
              <w:autoSpaceDE/>
              <w:bidi w:val="0"/>
              <w:adjustRightInd/>
              <w:snapToGrid/>
              <w:spacing w:line="560" w:lineRule="exact"/>
              <w:ind w:right="0"/>
              <w:jc w:val="both"/>
              <w:textAlignment w:val="auto"/>
              <w:rPr>
                <w:rFonts w:hint="eastAsia" w:ascii="宋体" w:hAnsi="宋体"/>
                <w:sz w:val="24"/>
              </w:rPr>
            </w:pPr>
            <w:r>
              <w:rPr>
                <w:rFonts w:hint="eastAsia" w:ascii="宋体" w:hAnsi="宋体"/>
                <w:sz w:val="24"/>
              </w:rPr>
              <w:t>采购代理机构名称</w:t>
            </w:r>
          </w:p>
        </w:tc>
        <w:tc>
          <w:tcPr>
            <w:tcW w:w="3168" w:type="dxa"/>
            <w:tcBorders>
              <w:top w:val="single" w:color="auto" w:sz="4" w:space="0"/>
              <w:left w:val="single" w:color="auto" w:sz="4" w:space="0"/>
              <w:bottom w:val="single" w:color="auto" w:sz="4" w:space="0"/>
              <w:right w:val="single" w:color="auto" w:sz="4" w:space="0"/>
            </w:tcBorders>
            <w:vAlign w:val="center"/>
          </w:tcPr>
          <w:p w14:paraId="6B352145">
            <w:pPr>
              <w:keepNext w:val="0"/>
              <w:keepLines w:val="0"/>
              <w:pageBreakBefore w:val="0"/>
              <w:kinsoku/>
              <w:wordWrap/>
              <w:topLinePunct w:val="0"/>
              <w:autoSpaceDE/>
              <w:bidi w:val="0"/>
              <w:adjustRightInd/>
              <w:snapToGrid/>
              <w:spacing w:line="560" w:lineRule="exact"/>
              <w:ind w:left="0" w:leftChars="0" w:right="0" w:firstLine="480" w:firstLineChars="200"/>
              <w:textAlignment w:val="auto"/>
              <w:rPr>
                <w:rFonts w:hint="eastAsia" w:ascii="宋体" w:hAnsi="宋体"/>
                <w:sz w:val="24"/>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1865FF33">
            <w:pPr>
              <w:keepNext w:val="0"/>
              <w:keepLines w:val="0"/>
              <w:pageBreakBefore w:val="0"/>
              <w:kinsoku/>
              <w:wordWrap/>
              <w:topLinePunct w:val="0"/>
              <w:autoSpaceDE/>
              <w:bidi w:val="0"/>
              <w:adjustRightInd/>
              <w:snapToGrid/>
              <w:spacing w:line="560" w:lineRule="exact"/>
              <w:ind w:right="0"/>
              <w:textAlignment w:val="auto"/>
              <w:rPr>
                <w:rFonts w:hint="eastAsia" w:ascii="宋体" w:hAnsi="宋体"/>
                <w:sz w:val="24"/>
              </w:rPr>
            </w:pPr>
            <w:r>
              <w:rPr>
                <w:rFonts w:hint="eastAsia" w:ascii="宋体" w:hAnsi="宋体"/>
                <w:sz w:val="24"/>
              </w:rPr>
              <w:t>青财采整字[20   ]第    号</w:t>
            </w:r>
          </w:p>
        </w:tc>
      </w:tr>
      <w:tr w14:paraId="5227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14:paraId="31D43221">
            <w:pPr>
              <w:keepNext w:val="0"/>
              <w:keepLines w:val="0"/>
              <w:pageBreakBefore w:val="0"/>
              <w:kinsoku/>
              <w:wordWrap/>
              <w:topLinePunct w:val="0"/>
              <w:autoSpaceDE/>
              <w:bidi w:val="0"/>
              <w:adjustRightInd/>
              <w:snapToGrid/>
              <w:spacing w:line="560" w:lineRule="exact"/>
              <w:ind w:right="0"/>
              <w:textAlignment w:val="auto"/>
              <w:rPr>
                <w:rFonts w:hint="eastAsia" w:ascii="宋体" w:hAnsi="宋体"/>
                <w:sz w:val="24"/>
              </w:rPr>
            </w:pPr>
            <w:r>
              <w:rPr>
                <w:rFonts w:hint="eastAsia" w:ascii="宋体" w:hAnsi="宋体"/>
                <w:sz w:val="24"/>
              </w:rPr>
              <w:t>采购代理机构地址</w:t>
            </w:r>
          </w:p>
        </w:tc>
        <w:tc>
          <w:tcPr>
            <w:tcW w:w="3168" w:type="dxa"/>
            <w:tcBorders>
              <w:top w:val="single" w:color="auto" w:sz="4" w:space="0"/>
              <w:left w:val="single" w:color="auto" w:sz="4" w:space="0"/>
              <w:bottom w:val="single" w:color="auto" w:sz="4" w:space="0"/>
              <w:right w:val="single" w:color="auto" w:sz="4" w:space="0"/>
            </w:tcBorders>
            <w:vAlign w:val="center"/>
          </w:tcPr>
          <w:p w14:paraId="28E62B0A">
            <w:pPr>
              <w:keepNext w:val="0"/>
              <w:keepLines w:val="0"/>
              <w:pageBreakBefore w:val="0"/>
              <w:kinsoku/>
              <w:wordWrap/>
              <w:topLinePunct w:val="0"/>
              <w:autoSpaceDE/>
              <w:bidi w:val="0"/>
              <w:adjustRightInd/>
              <w:snapToGrid/>
              <w:spacing w:line="560" w:lineRule="exact"/>
              <w:ind w:left="0" w:leftChars="0" w:right="0" w:firstLine="316" w:firstLineChars="200"/>
              <w:textAlignment w:val="auto"/>
              <w:rPr>
                <w:rFonts w:hint="eastAsia" w:ascii="宋体" w:hAnsi="宋体"/>
                <w:w w:val="66"/>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490F8D74">
            <w:pPr>
              <w:keepNext w:val="0"/>
              <w:keepLines w:val="0"/>
              <w:pageBreakBefore w:val="0"/>
              <w:kinsoku/>
              <w:wordWrap/>
              <w:topLinePunct w:val="0"/>
              <w:autoSpaceDE/>
              <w:bidi w:val="0"/>
              <w:adjustRightInd/>
              <w:snapToGrid/>
              <w:spacing w:line="560" w:lineRule="exact"/>
              <w:ind w:right="0"/>
              <w:textAlignment w:val="auto"/>
              <w:rPr>
                <w:rFonts w:hint="eastAsia" w:ascii="宋体" w:hAnsi="宋体"/>
                <w:sz w:val="24"/>
              </w:rPr>
            </w:pPr>
            <w:r>
              <w:rPr>
                <w:rFonts w:hint="eastAsia" w:ascii="宋体" w:hAnsi="宋体"/>
                <w:sz w:val="24"/>
              </w:rPr>
              <w:t>法定代表人</w:t>
            </w:r>
          </w:p>
        </w:tc>
        <w:tc>
          <w:tcPr>
            <w:tcW w:w="1800" w:type="dxa"/>
            <w:tcBorders>
              <w:top w:val="single" w:color="auto" w:sz="4" w:space="0"/>
              <w:left w:val="single" w:color="auto" w:sz="4" w:space="0"/>
              <w:bottom w:val="single" w:color="auto" w:sz="4" w:space="0"/>
              <w:right w:val="single" w:color="auto" w:sz="4" w:space="0"/>
            </w:tcBorders>
            <w:vAlign w:val="center"/>
          </w:tcPr>
          <w:p w14:paraId="4CFCC9B6">
            <w:pPr>
              <w:keepNext w:val="0"/>
              <w:keepLines w:val="0"/>
              <w:pageBreakBefore w:val="0"/>
              <w:kinsoku/>
              <w:wordWrap/>
              <w:topLinePunct w:val="0"/>
              <w:autoSpaceDE/>
              <w:bidi w:val="0"/>
              <w:adjustRightInd/>
              <w:snapToGrid/>
              <w:spacing w:line="560" w:lineRule="exact"/>
              <w:ind w:left="0" w:leftChars="0" w:right="0" w:firstLine="480" w:firstLineChars="200"/>
              <w:textAlignment w:val="auto"/>
              <w:rPr>
                <w:rFonts w:hint="eastAsia" w:ascii="宋体" w:hAnsi="宋体"/>
                <w:sz w:val="24"/>
              </w:rPr>
            </w:pPr>
          </w:p>
        </w:tc>
      </w:tr>
      <w:tr w14:paraId="7921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14:paraId="11F2EC80">
            <w:pPr>
              <w:keepNext w:val="0"/>
              <w:keepLines w:val="0"/>
              <w:pageBreakBefore w:val="0"/>
              <w:kinsoku/>
              <w:wordWrap/>
              <w:topLinePunct w:val="0"/>
              <w:autoSpaceDE/>
              <w:bidi w:val="0"/>
              <w:adjustRightInd/>
              <w:snapToGrid/>
              <w:spacing w:line="560" w:lineRule="exact"/>
              <w:ind w:left="0" w:leftChars="0" w:right="0" w:firstLine="480" w:firstLineChars="200"/>
              <w:jc w:val="center"/>
              <w:textAlignment w:val="auto"/>
              <w:rPr>
                <w:rFonts w:hint="eastAsia" w:ascii="宋体" w:hAnsi="宋体"/>
                <w:sz w:val="24"/>
              </w:rPr>
            </w:pPr>
            <w:r>
              <w:rPr>
                <w:rFonts w:hint="eastAsia" w:ascii="宋体" w:hAnsi="宋体"/>
                <w:sz w:val="24"/>
              </w:rPr>
              <w:t>整改时间</w:t>
            </w:r>
          </w:p>
        </w:tc>
        <w:tc>
          <w:tcPr>
            <w:tcW w:w="3168" w:type="dxa"/>
            <w:tcBorders>
              <w:top w:val="single" w:color="auto" w:sz="4" w:space="0"/>
              <w:left w:val="single" w:color="auto" w:sz="4" w:space="0"/>
              <w:bottom w:val="single" w:color="auto" w:sz="4" w:space="0"/>
              <w:right w:val="single" w:color="auto" w:sz="4" w:space="0"/>
            </w:tcBorders>
            <w:vAlign w:val="center"/>
          </w:tcPr>
          <w:p w14:paraId="32162E28">
            <w:pPr>
              <w:keepNext w:val="0"/>
              <w:keepLines w:val="0"/>
              <w:pageBreakBefore w:val="0"/>
              <w:kinsoku/>
              <w:wordWrap/>
              <w:topLinePunct w:val="0"/>
              <w:autoSpaceDE/>
              <w:bidi w:val="0"/>
              <w:adjustRightInd/>
              <w:snapToGrid/>
              <w:spacing w:line="560" w:lineRule="exact"/>
              <w:ind w:left="0" w:leftChars="0" w:right="0" w:firstLine="480" w:firstLineChars="200"/>
              <w:textAlignment w:val="auto"/>
              <w:rPr>
                <w:rFonts w:hint="eastAsia"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2680CB9C">
            <w:pPr>
              <w:keepNext w:val="0"/>
              <w:keepLines w:val="0"/>
              <w:pageBreakBefore w:val="0"/>
              <w:kinsoku/>
              <w:wordWrap/>
              <w:topLinePunct w:val="0"/>
              <w:autoSpaceDE/>
              <w:bidi w:val="0"/>
              <w:adjustRightInd/>
              <w:snapToGrid/>
              <w:spacing w:line="560" w:lineRule="exact"/>
              <w:ind w:right="0"/>
              <w:jc w:val="both"/>
              <w:textAlignment w:val="auto"/>
              <w:rPr>
                <w:rFonts w:hint="eastAsia" w:ascii="宋体" w:hAnsi="宋体"/>
                <w:sz w:val="24"/>
              </w:rPr>
            </w:pPr>
            <w:r>
              <w:rPr>
                <w:rFonts w:hint="eastAsia" w:ascii="宋体" w:hAnsi="宋体"/>
                <w:sz w:val="24"/>
              </w:rPr>
              <w:t>联系电话</w:t>
            </w:r>
          </w:p>
        </w:tc>
        <w:tc>
          <w:tcPr>
            <w:tcW w:w="1800" w:type="dxa"/>
            <w:tcBorders>
              <w:top w:val="single" w:color="auto" w:sz="4" w:space="0"/>
              <w:left w:val="single" w:color="auto" w:sz="4" w:space="0"/>
              <w:bottom w:val="single" w:color="auto" w:sz="4" w:space="0"/>
              <w:right w:val="single" w:color="auto" w:sz="4" w:space="0"/>
            </w:tcBorders>
            <w:vAlign w:val="center"/>
          </w:tcPr>
          <w:p w14:paraId="23E62F38">
            <w:pPr>
              <w:keepNext w:val="0"/>
              <w:keepLines w:val="0"/>
              <w:pageBreakBefore w:val="0"/>
              <w:kinsoku/>
              <w:wordWrap/>
              <w:topLinePunct w:val="0"/>
              <w:autoSpaceDE/>
              <w:bidi w:val="0"/>
              <w:adjustRightInd/>
              <w:snapToGrid/>
              <w:spacing w:line="560" w:lineRule="exact"/>
              <w:ind w:left="0" w:leftChars="0" w:right="0" w:firstLine="480" w:firstLineChars="200"/>
              <w:textAlignment w:val="auto"/>
              <w:rPr>
                <w:rFonts w:hint="eastAsia" w:ascii="宋体" w:hAnsi="宋体"/>
                <w:sz w:val="24"/>
              </w:rPr>
            </w:pPr>
          </w:p>
        </w:tc>
      </w:tr>
      <w:tr w14:paraId="246A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9" w:hRule="atLeast"/>
        </w:trPr>
        <w:tc>
          <w:tcPr>
            <w:tcW w:w="468" w:type="dxa"/>
            <w:tcBorders>
              <w:top w:val="single" w:color="auto" w:sz="4" w:space="0"/>
              <w:left w:val="single" w:color="auto" w:sz="4" w:space="0"/>
              <w:right w:val="single" w:color="auto" w:sz="4" w:space="0"/>
            </w:tcBorders>
            <w:vAlign w:val="top"/>
          </w:tcPr>
          <w:p w14:paraId="5E469C11">
            <w:pPr>
              <w:keepNext w:val="0"/>
              <w:keepLines w:val="0"/>
              <w:pageBreakBefore w:val="0"/>
              <w:kinsoku/>
              <w:wordWrap/>
              <w:topLinePunct w:val="0"/>
              <w:autoSpaceDE/>
              <w:bidi w:val="0"/>
              <w:adjustRightInd/>
              <w:snapToGrid/>
              <w:spacing w:line="560" w:lineRule="exact"/>
              <w:ind w:left="0" w:leftChars="0" w:right="0" w:firstLine="480" w:firstLineChars="200"/>
              <w:textAlignment w:val="auto"/>
              <w:rPr>
                <w:rFonts w:hint="eastAsia" w:ascii="宋体" w:hAnsi="宋体"/>
                <w:sz w:val="24"/>
              </w:rPr>
            </w:pPr>
          </w:p>
          <w:p w14:paraId="0E248014">
            <w:pPr>
              <w:keepNext w:val="0"/>
              <w:keepLines w:val="0"/>
              <w:pageBreakBefore w:val="0"/>
              <w:kinsoku/>
              <w:wordWrap/>
              <w:topLinePunct w:val="0"/>
              <w:autoSpaceDE/>
              <w:bidi w:val="0"/>
              <w:adjustRightInd/>
              <w:snapToGrid/>
              <w:spacing w:line="560" w:lineRule="exact"/>
              <w:ind w:left="0" w:leftChars="0" w:right="0" w:firstLine="480" w:firstLineChars="200"/>
              <w:textAlignment w:val="auto"/>
              <w:rPr>
                <w:rFonts w:hint="eastAsia" w:ascii="宋体" w:hAnsi="宋体"/>
                <w:sz w:val="24"/>
              </w:rPr>
            </w:pPr>
          </w:p>
          <w:p w14:paraId="3BD84A83">
            <w:pPr>
              <w:keepNext w:val="0"/>
              <w:keepLines w:val="0"/>
              <w:pageBreakBefore w:val="0"/>
              <w:kinsoku/>
              <w:wordWrap/>
              <w:topLinePunct w:val="0"/>
              <w:autoSpaceDE/>
              <w:bidi w:val="0"/>
              <w:adjustRightInd/>
              <w:snapToGrid/>
              <w:spacing w:line="560" w:lineRule="exact"/>
              <w:ind w:left="0" w:leftChars="0" w:right="0" w:firstLine="480" w:firstLineChars="200"/>
              <w:textAlignment w:val="auto"/>
              <w:rPr>
                <w:rFonts w:hint="eastAsia" w:ascii="宋体" w:hAnsi="宋体"/>
                <w:sz w:val="24"/>
              </w:rPr>
            </w:pPr>
          </w:p>
          <w:p w14:paraId="64264C05">
            <w:pPr>
              <w:keepNext w:val="0"/>
              <w:keepLines w:val="0"/>
              <w:pageBreakBefore w:val="0"/>
              <w:kinsoku/>
              <w:wordWrap/>
              <w:topLinePunct w:val="0"/>
              <w:autoSpaceDE/>
              <w:bidi w:val="0"/>
              <w:adjustRightInd/>
              <w:snapToGrid/>
              <w:spacing w:line="560" w:lineRule="exact"/>
              <w:ind w:left="0" w:leftChars="0" w:right="0" w:firstLine="480" w:firstLineChars="200"/>
              <w:textAlignment w:val="auto"/>
              <w:rPr>
                <w:rFonts w:hint="eastAsia" w:ascii="宋体" w:hAnsi="宋体"/>
                <w:sz w:val="24"/>
              </w:rPr>
            </w:pPr>
            <w:r>
              <w:rPr>
                <w:rFonts w:hint="eastAsia" w:ascii="宋体" w:hAnsi="宋体"/>
                <w:sz w:val="24"/>
              </w:rPr>
              <w:t>财政部门意见</w:t>
            </w:r>
          </w:p>
        </w:tc>
        <w:tc>
          <w:tcPr>
            <w:tcW w:w="8100" w:type="dxa"/>
            <w:gridSpan w:val="4"/>
            <w:tcBorders>
              <w:top w:val="single" w:color="auto" w:sz="4" w:space="0"/>
              <w:left w:val="single" w:color="auto" w:sz="4" w:space="0"/>
              <w:right w:val="single" w:color="auto" w:sz="4" w:space="0"/>
            </w:tcBorders>
            <w:vAlign w:val="top"/>
          </w:tcPr>
          <w:p w14:paraId="70432FA2">
            <w:pPr>
              <w:keepNext w:val="0"/>
              <w:keepLines w:val="0"/>
              <w:pageBreakBefore w:val="0"/>
              <w:kinsoku/>
              <w:wordWrap/>
              <w:topLinePunct w:val="0"/>
              <w:autoSpaceDE/>
              <w:bidi w:val="0"/>
              <w:adjustRightInd/>
              <w:snapToGrid/>
              <w:spacing w:line="560" w:lineRule="exact"/>
              <w:ind w:left="0" w:leftChars="0" w:right="0" w:firstLine="480" w:firstLineChars="200"/>
              <w:textAlignment w:val="auto"/>
              <w:rPr>
                <w:rFonts w:hint="eastAsia" w:ascii="宋体" w:hAnsi="宋体"/>
                <w:sz w:val="24"/>
              </w:rPr>
            </w:pPr>
          </w:p>
          <w:p w14:paraId="0525F173">
            <w:pPr>
              <w:keepNext w:val="0"/>
              <w:keepLines w:val="0"/>
              <w:pageBreakBefore w:val="0"/>
              <w:kinsoku/>
              <w:wordWrap/>
              <w:topLinePunct w:val="0"/>
              <w:autoSpaceDE/>
              <w:bidi w:val="0"/>
              <w:adjustRightInd/>
              <w:snapToGrid/>
              <w:spacing w:line="560" w:lineRule="exact"/>
              <w:ind w:left="0" w:leftChars="0" w:right="0" w:firstLine="480" w:firstLineChars="200"/>
              <w:textAlignment w:val="auto"/>
              <w:rPr>
                <w:rFonts w:hint="eastAsia" w:ascii="宋体" w:hAnsi="宋体"/>
                <w:sz w:val="24"/>
              </w:rPr>
            </w:pPr>
          </w:p>
          <w:p w14:paraId="11FCB8A7">
            <w:pPr>
              <w:keepNext w:val="0"/>
              <w:keepLines w:val="0"/>
              <w:pageBreakBefore w:val="0"/>
              <w:kinsoku/>
              <w:wordWrap/>
              <w:topLinePunct w:val="0"/>
              <w:autoSpaceDE/>
              <w:bidi w:val="0"/>
              <w:adjustRightInd/>
              <w:snapToGrid/>
              <w:spacing w:line="560" w:lineRule="exact"/>
              <w:ind w:left="0" w:leftChars="0" w:right="0" w:firstLine="480" w:firstLineChars="200"/>
              <w:textAlignment w:val="auto"/>
              <w:rPr>
                <w:rFonts w:hint="eastAsia" w:ascii="宋体" w:hAnsi="宋体"/>
                <w:sz w:val="24"/>
              </w:rPr>
            </w:pPr>
          </w:p>
          <w:p w14:paraId="080914CC">
            <w:pPr>
              <w:keepNext w:val="0"/>
              <w:keepLines w:val="0"/>
              <w:pageBreakBefore w:val="0"/>
              <w:kinsoku/>
              <w:wordWrap/>
              <w:topLinePunct w:val="0"/>
              <w:autoSpaceDE/>
              <w:bidi w:val="0"/>
              <w:adjustRightInd/>
              <w:snapToGrid/>
              <w:spacing w:line="560" w:lineRule="exact"/>
              <w:ind w:left="0" w:leftChars="0" w:right="0" w:firstLine="480" w:firstLineChars="200"/>
              <w:textAlignment w:val="auto"/>
              <w:rPr>
                <w:rFonts w:hint="eastAsia" w:ascii="宋体" w:hAnsi="宋体"/>
                <w:sz w:val="24"/>
              </w:rPr>
            </w:pPr>
          </w:p>
          <w:p w14:paraId="42F55DE8">
            <w:pPr>
              <w:keepNext w:val="0"/>
              <w:keepLines w:val="0"/>
              <w:pageBreakBefore w:val="0"/>
              <w:kinsoku/>
              <w:wordWrap/>
              <w:topLinePunct w:val="0"/>
              <w:autoSpaceDE/>
              <w:bidi w:val="0"/>
              <w:adjustRightInd/>
              <w:snapToGrid/>
              <w:spacing w:line="560" w:lineRule="exact"/>
              <w:ind w:left="0" w:leftChars="0" w:right="0" w:firstLine="480" w:firstLineChars="200"/>
              <w:textAlignment w:val="auto"/>
              <w:rPr>
                <w:rFonts w:hint="eastAsia" w:ascii="宋体" w:hAnsi="宋体"/>
                <w:sz w:val="24"/>
              </w:rPr>
            </w:pPr>
          </w:p>
          <w:p w14:paraId="78D34A59">
            <w:pPr>
              <w:keepNext w:val="0"/>
              <w:keepLines w:val="0"/>
              <w:pageBreakBefore w:val="0"/>
              <w:kinsoku/>
              <w:wordWrap/>
              <w:topLinePunct w:val="0"/>
              <w:autoSpaceDE/>
              <w:bidi w:val="0"/>
              <w:adjustRightInd/>
              <w:snapToGrid/>
              <w:spacing w:line="560" w:lineRule="exact"/>
              <w:ind w:left="0" w:leftChars="0" w:right="0" w:firstLine="480" w:firstLineChars="200"/>
              <w:textAlignment w:val="auto"/>
              <w:rPr>
                <w:rFonts w:hint="eastAsia" w:ascii="宋体" w:hAnsi="宋体"/>
                <w:sz w:val="24"/>
              </w:rPr>
            </w:pPr>
          </w:p>
          <w:p w14:paraId="5A9D4A29">
            <w:pPr>
              <w:keepNext w:val="0"/>
              <w:keepLines w:val="0"/>
              <w:pageBreakBefore w:val="0"/>
              <w:kinsoku/>
              <w:wordWrap/>
              <w:topLinePunct w:val="0"/>
              <w:autoSpaceDE/>
              <w:bidi w:val="0"/>
              <w:adjustRightInd/>
              <w:snapToGrid/>
              <w:spacing w:line="560" w:lineRule="exact"/>
              <w:ind w:left="0" w:leftChars="0" w:right="0" w:firstLine="480" w:firstLineChars="200"/>
              <w:textAlignment w:val="auto"/>
              <w:rPr>
                <w:rFonts w:hint="eastAsia" w:ascii="宋体" w:hAnsi="宋体"/>
                <w:sz w:val="24"/>
              </w:rPr>
            </w:pPr>
          </w:p>
          <w:p w14:paraId="15F2FDF8">
            <w:pPr>
              <w:keepNext w:val="0"/>
              <w:keepLines w:val="0"/>
              <w:pageBreakBefore w:val="0"/>
              <w:kinsoku/>
              <w:wordWrap/>
              <w:topLinePunct w:val="0"/>
              <w:autoSpaceDE/>
              <w:bidi w:val="0"/>
              <w:adjustRightInd/>
              <w:snapToGrid/>
              <w:spacing w:line="560" w:lineRule="exact"/>
              <w:ind w:right="0"/>
              <w:textAlignment w:val="auto"/>
              <w:rPr>
                <w:rFonts w:hint="eastAsia" w:ascii="宋体" w:hAnsi="宋体"/>
                <w:sz w:val="24"/>
              </w:rPr>
            </w:pPr>
          </w:p>
          <w:p w14:paraId="1AD5786E">
            <w:pPr>
              <w:keepNext w:val="0"/>
              <w:keepLines w:val="0"/>
              <w:pageBreakBefore w:val="0"/>
              <w:kinsoku/>
              <w:wordWrap/>
              <w:topLinePunct w:val="0"/>
              <w:autoSpaceDE/>
              <w:bidi w:val="0"/>
              <w:adjustRightInd/>
              <w:snapToGrid/>
              <w:spacing w:line="560" w:lineRule="exact"/>
              <w:ind w:right="0"/>
              <w:textAlignment w:val="auto"/>
              <w:rPr>
                <w:rFonts w:hint="eastAsia" w:ascii="宋体" w:hAnsi="宋体"/>
                <w:sz w:val="24"/>
              </w:rPr>
            </w:pPr>
          </w:p>
          <w:p w14:paraId="107989B8">
            <w:pPr>
              <w:keepNext w:val="0"/>
              <w:keepLines w:val="0"/>
              <w:pageBreakBefore w:val="0"/>
              <w:kinsoku/>
              <w:wordWrap/>
              <w:topLinePunct w:val="0"/>
              <w:autoSpaceDE/>
              <w:bidi w:val="0"/>
              <w:adjustRightInd/>
              <w:snapToGrid/>
              <w:spacing w:line="560" w:lineRule="exact"/>
              <w:ind w:right="0"/>
              <w:textAlignment w:val="auto"/>
              <w:rPr>
                <w:rFonts w:hint="eastAsia" w:ascii="宋体" w:hAnsi="宋体"/>
                <w:sz w:val="24"/>
              </w:rPr>
            </w:pPr>
          </w:p>
          <w:p w14:paraId="15320E2F">
            <w:pPr>
              <w:keepNext w:val="0"/>
              <w:keepLines w:val="0"/>
              <w:pageBreakBefore w:val="0"/>
              <w:kinsoku/>
              <w:wordWrap/>
              <w:topLinePunct w:val="0"/>
              <w:autoSpaceDE/>
              <w:bidi w:val="0"/>
              <w:adjustRightInd/>
              <w:snapToGrid/>
              <w:spacing w:line="560" w:lineRule="exact"/>
              <w:ind w:right="0"/>
              <w:textAlignment w:val="auto"/>
              <w:rPr>
                <w:rFonts w:hint="eastAsia" w:ascii="宋体" w:hAnsi="宋体"/>
                <w:sz w:val="24"/>
              </w:rPr>
            </w:pPr>
          </w:p>
          <w:p w14:paraId="0404EC70">
            <w:pPr>
              <w:keepNext w:val="0"/>
              <w:keepLines w:val="0"/>
              <w:pageBreakBefore w:val="0"/>
              <w:kinsoku/>
              <w:wordWrap/>
              <w:topLinePunct w:val="0"/>
              <w:autoSpaceDE/>
              <w:bidi w:val="0"/>
              <w:adjustRightInd/>
              <w:snapToGrid/>
              <w:spacing w:line="560" w:lineRule="exact"/>
              <w:ind w:left="0" w:leftChars="0" w:right="0" w:firstLine="480" w:firstLineChars="200"/>
              <w:textAlignment w:val="auto"/>
              <w:rPr>
                <w:rFonts w:hint="eastAsia" w:ascii="宋体" w:hAnsi="宋体"/>
                <w:sz w:val="24"/>
              </w:rPr>
            </w:pPr>
          </w:p>
          <w:p w14:paraId="27DF5409">
            <w:pPr>
              <w:keepNext w:val="0"/>
              <w:keepLines w:val="0"/>
              <w:pageBreakBefore w:val="0"/>
              <w:kinsoku/>
              <w:wordWrap/>
              <w:topLinePunct w:val="0"/>
              <w:autoSpaceDE/>
              <w:bidi w:val="0"/>
              <w:adjustRightInd/>
              <w:snapToGrid/>
              <w:spacing w:line="560" w:lineRule="exact"/>
              <w:ind w:left="0" w:leftChars="0" w:right="0" w:firstLine="480" w:firstLineChars="200"/>
              <w:jc w:val="right"/>
              <w:textAlignment w:val="auto"/>
              <w:rPr>
                <w:rFonts w:hint="eastAsia" w:ascii="宋体" w:hAnsi="宋体"/>
                <w:sz w:val="24"/>
              </w:rPr>
            </w:pPr>
            <w:r>
              <w:rPr>
                <w:rFonts w:hint="eastAsia" w:ascii="宋体" w:hAnsi="宋体"/>
                <w:sz w:val="24"/>
              </w:rPr>
              <w:t xml:space="preserve">   青海省财政厅（盖章）</w:t>
            </w:r>
          </w:p>
          <w:p w14:paraId="29C4414F">
            <w:pPr>
              <w:keepNext w:val="0"/>
              <w:keepLines w:val="0"/>
              <w:pageBreakBefore w:val="0"/>
              <w:kinsoku/>
              <w:wordWrap/>
              <w:topLinePunct w:val="0"/>
              <w:autoSpaceDE/>
              <w:bidi w:val="0"/>
              <w:adjustRightInd/>
              <w:snapToGrid/>
              <w:spacing w:line="560" w:lineRule="exact"/>
              <w:ind w:left="0" w:leftChars="0" w:right="0" w:firstLine="480" w:firstLineChars="200"/>
              <w:jc w:val="right"/>
              <w:textAlignment w:val="auto"/>
              <w:rPr>
                <w:rFonts w:hint="eastAsia" w:ascii="宋体" w:hAnsi="宋体"/>
                <w:sz w:val="24"/>
              </w:rPr>
            </w:pPr>
            <w:r>
              <w:rPr>
                <w:rFonts w:hint="eastAsia" w:ascii="宋体" w:hAnsi="宋体"/>
                <w:sz w:val="24"/>
              </w:rPr>
              <w:t>年  月 日</w:t>
            </w:r>
          </w:p>
        </w:tc>
      </w:tr>
    </w:tbl>
    <w:p w14:paraId="277109F9">
      <w:pPr>
        <w:keepNext w:val="0"/>
        <w:keepLines w:val="0"/>
        <w:pageBreakBefore w:val="0"/>
        <w:kinsoku/>
        <w:wordWrap/>
        <w:topLinePunct w:val="0"/>
        <w:autoSpaceDE/>
        <w:bidi w:val="0"/>
        <w:adjustRightInd/>
        <w:spacing w:line="560" w:lineRule="exact"/>
        <w:ind w:right="0"/>
        <w:textAlignment w:val="auto"/>
        <w:rPr>
          <w:color w:val="000000" w:themeColor="text1"/>
          <w14:textFill>
            <w14:solidFill>
              <w14:schemeClr w14:val="tx1"/>
            </w14:solidFill>
          </w14:textFill>
        </w:rPr>
      </w:pPr>
    </w:p>
    <w:p w14:paraId="11CFAC01">
      <w:pPr>
        <w:keepNext w:val="0"/>
        <w:keepLines w:val="0"/>
        <w:pageBreakBefore w:val="0"/>
        <w:kinsoku/>
        <w:wordWrap/>
        <w:topLinePunct w:val="0"/>
        <w:autoSpaceDE/>
        <w:bidi w:val="0"/>
        <w:adjustRightInd/>
        <w:spacing w:line="560" w:lineRule="exact"/>
        <w:ind w:left="0" w:leftChars="0" w:right="0" w:firstLine="420" w:firstLineChars="200"/>
        <w:textAlignment w:val="auto"/>
        <w:rPr>
          <w:rFonts w:hint="eastAsia"/>
          <w:color w:val="000000" w:themeColor="text1"/>
          <w14:textFill>
            <w14:solidFill>
              <w14:schemeClr w14:val="tx1"/>
            </w14:solidFill>
          </w14:textFill>
        </w:rPr>
      </w:pPr>
    </w:p>
    <w:p w14:paraId="721DC1B5"/>
    <w:sectPr>
      <w:footerReference r:id="rId5" w:type="default"/>
      <w:footerReference r:id="rId6" w:type="even"/>
      <w:type w:val="continuous"/>
      <w:pgSz w:w="11906" w:h="16838"/>
      <w:pgMar w:top="1984" w:right="1588" w:bottom="1814" w:left="1588" w:header="737" w:footer="130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AD3A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08BAD0">
                          <w:pPr>
                            <w:pStyle w:val="2"/>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E08BAD0">
                    <w:pPr>
                      <w:pStyle w:val="2"/>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2CF80">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B85FD">
    <w:pPr>
      <w:pStyle w:val="2"/>
      <w:ind w:left="4153" w:hanging="4153"/>
      <w:jc w:val="right"/>
      <w:rPr>
        <w:rFonts w:hint="eastAsia"/>
      </w:rPr>
    </w:pPr>
    <w:r>
      <w:rPr>
        <w:rStyle w:val="6"/>
        <w:rFonts w:ascii="宋体" w:hAnsi="宋体" w:eastAsia="宋体" w:cs="宋体"/>
        <w:sz w:val="24"/>
        <w:szCs w:val="24"/>
      </w:rPr>
      <w:t xml:space="preserve">— </w:t>
    </w:r>
    <w:r>
      <w:rPr>
        <w:rStyle w:val="6"/>
        <w:rFonts w:ascii="Times New Roman" w:hAnsi="Times New Roman" w:eastAsia="宋体" w:cs="Times New Roman"/>
        <w:sz w:val="24"/>
        <w:szCs w:val="24"/>
      </w:rPr>
      <w:fldChar w:fldCharType="begin"/>
    </w:r>
    <w:r>
      <w:rPr>
        <w:rStyle w:val="6"/>
        <w:rFonts w:ascii="Times New Roman" w:hAnsi="Times New Roman" w:eastAsia="宋体" w:cs="Times New Roman"/>
        <w:sz w:val="24"/>
        <w:szCs w:val="24"/>
      </w:rPr>
      <w:instrText xml:space="preserve">PAGE  </w:instrText>
    </w:r>
    <w:r>
      <w:rPr>
        <w:rStyle w:val="6"/>
        <w:rFonts w:ascii="Times New Roman" w:hAnsi="Times New Roman" w:eastAsia="宋体" w:cs="Times New Roman"/>
        <w:sz w:val="24"/>
        <w:szCs w:val="24"/>
      </w:rPr>
      <w:fldChar w:fldCharType="separate"/>
    </w:r>
    <w:r>
      <w:rPr>
        <w:rStyle w:val="6"/>
        <w:rFonts w:ascii="Times New Roman" w:hAnsi="Times New Roman" w:eastAsia="宋体" w:cs="Times New Roman"/>
        <w:sz w:val="24"/>
      </w:rPr>
      <w:t>6</w:t>
    </w:r>
    <w:r>
      <w:rPr>
        <w:rStyle w:val="6"/>
        <w:rFonts w:ascii="Times New Roman" w:hAnsi="Times New Roman" w:eastAsia="宋体" w:cs="Times New Roman"/>
        <w:sz w:val="24"/>
        <w:szCs w:val="24"/>
      </w:rPr>
      <w:fldChar w:fldCharType="end"/>
    </w:r>
    <w:r>
      <w:rPr>
        <w:rStyle w:val="6"/>
        <w:rFonts w:ascii="宋体" w:hAnsi="宋体" w:eastAsia="宋体" w:cs="宋体"/>
        <w:sz w:val="24"/>
        <w:szCs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D2B6B">
    <w:pPr>
      <w:pStyle w:val="2"/>
      <w:ind w:left="4153" w:firstLine="480"/>
      <w:jc w:val="right"/>
      <w:rPr>
        <w:rFonts w:hint="eastAsia"/>
      </w:rPr>
    </w:pPr>
    <w:r>
      <w:rPr>
        <w:rStyle w:val="6"/>
        <w:rFonts w:ascii="宋体" w:hAnsi="宋体" w:eastAsia="宋体" w:cs="宋体"/>
        <w:sz w:val="24"/>
        <w:szCs w:val="24"/>
      </w:rPr>
      <w:t xml:space="preserve">— </w:t>
    </w:r>
    <w:r>
      <w:rPr>
        <w:rStyle w:val="6"/>
        <w:rFonts w:ascii="Times New Roman" w:hAnsi="Times New Roman" w:eastAsia="宋体" w:cs="Times New Roman"/>
        <w:sz w:val="24"/>
        <w:szCs w:val="24"/>
      </w:rPr>
      <w:fldChar w:fldCharType="begin"/>
    </w:r>
    <w:r>
      <w:rPr>
        <w:rStyle w:val="6"/>
        <w:rFonts w:ascii="Times New Roman" w:hAnsi="Times New Roman" w:eastAsia="宋体" w:cs="Times New Roman"/>
        <w:sz w:val="24"/>
        <w:szCs w:val="24"/>
      </w:rPr>
      <w:instrText xml:space="preserve">PAGE  </w:instrText>
    </w:r>
    <w:r>
      <w:rPr>
        <w:rStyle w:val="6"/>
        <w:rFonts w:ascii="Times New Roman" w:hAnsi="Times New Roman" w:eastAsia="宋体" w:cs="Times New Roman"/>
        <w:sz w:val="24"/>
        <w:szCs w:val="24"/>
      </w:rPr>
      <w:fldChar w:fldCharType="separate"/>
    </w:r>
    <w:r>
      <w:rPr>
        <w:rStyle w:val="6"/>
        <w:rFonts w:ascii="Times New Roman" w:hAnsi="Times New Roman"/>
        <w:sz w:val="24"/>
        <w:szCs w:val="24"/>
      </w:rPr>
      <w:t>5</w:t>
    </w:r>
    <w:r>
      <w:rPr>
        <w:rStyle w:val="6"/>
        <w:rFonts w:ascii="Times New Roman" w:hAnsi="Times New Roman" w:eastAsia="宋体" w:cs="Times New Roman"/>
        <w:sz w:val="24"/>
        <w:szCs w:val="24"/>
      </w:rPr>
      <w:fldChar w:fldCharType="end"/>
    </w:r>
    <w:r>
      <w:rPr>
        <w:rStyle w:val="6"/>
        <w:rFonts w:ascii="宋体" w:hAnsi="宋体" w:eastAsia="宋体" w:cs="宋体"/>
        <w:sz w:val="24"/>
        <w:szCs w:val="24"/>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6251F"/>
    <w:multiLevelType w:val="singleLevel"/>
    <w:tmpl w:val="9FF6251F"/>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57F64"/>
    <w:rsid w:val="7CF57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2025-11-11T01:48:00Z</dcterms:created>
  <dc:creator>云胡不喜</dc:creator>
  <cp:lastModifiedBy>云胡不喜</cp:lastModifiedBy>
  <dcterms:modified xsi:type="dcterms:W3CDTF">2025-11-11T01:50:10Z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D731823E43D54F5EA8C367B4033500C0_11</vt:lpwstr>
  </property>
  <property fmtid="{D5CDD505-2E9C-101B-9397-08002B2CF9AE}" pid="4" name="KSOTemplateDocerSaveRecord">
    <vt:lpwstr>eyJoZGlkIjoiNTU5MDc4YWVhNWY4N2I1ZDVlNjY0M2U3ZTRmYTZiZTciLCJ1c2VySWQiOiI0OTczNzg0MTIifQ==</vt:lpwstr>
  </property>
</Properties>
</file>